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2E5" w:rsidRDefault="00077FF6" w:rsidP="006777C4">
      <w:pPr>
        <w:pStyle w:val="Titre"/>
      </w:pPr>
      <w:r>
        <w:t>Attitudes de l’enseignant-chercheur envers le libre accès à l’IST : Cas de l’université de la Manouba</w:t>
      </w:r>
    </w:p>
    <w:p w:rsidR="00DB52E5" w:rsidRPr="00077FF6" w:rsidRDefault="00077FF6" w:rsidP="00077FF6">
      <w:pPr>
        <w:pStyle w:val="Sous-titre"/>
        <w:spacing w:line="240" w:lineRule="exact"/>
        <w:rPr>
          <w:lang w:val="en-US"/>
        </w:rPr>
      </w:pPr>
      <w:r w:rsidRPr="00077FF6">
        <w:rPr>
          <w:lang w:val="en-US"/>
        </w:rPr>
        <w:t xml:space="preserve">Attitudes of the teacher-researcher </w:t>
      </w:r>
      <w:r>
        <w:rPr>
          <w:lang w:val="en-US"/>
        </w:rPr>
        <w:t>toward open</w:t>
      </w:r>
      <w:r w:rsidRPr="00077FF6">
        <w:rPr>
          <w:lang w:val="en-US"/>
        </w:rPr>
        <w:t xml:space="preserve"> access to IST: Case of the University of Manouba</w:t>
      </w:r>
    </w:p>
    <w:p w:rsidR="0087426D" w:rsidRPr="001715CB" w:rsidRDefault="0087426D" w:rsidP="0087426D">
      <w:pPr>
        <w:pStyle w:val="Affiliation"/>
        <w:rPr>
          <w:b/>
          <w:bCs/>
        </w:rPr>
      </w:pPr>
      <w:r>
        <w:rPr>
          <w:b/>
          <w:bCs/>
        </w:rPr>
        <w:t>Olfa CHATER</w:t>
      </w:r>
    </w:p>
    <w:p w:rsidR="0087426D" w:rsidRDefault="0087426D" w:rsidP="0087426D">
      <w:pPr>
        <w:pStyle w:val="Affiliation"/>
      </w:pPr>
      <w:r w:rsidRPr="001715CB">
        <w:t>Inst</w:t>
      </w:r>
      <w:r>
        <w:t>itut Supérieur de Documentation, Université de la Manouba</w:t>
      </w:r>
      <w:r>
        <w:br/>
        <w:t xml:space="preserve">Email : </w:t>
      </w:r>
      <w:hyperlink r:id="rId8" w:history="1">
        <w:r w:rsidRPr="006F4755">
          <w:rPr>
            <w:rStyle w:val="Lienhypertexte"/>
          </w:rPr>
          <w:t>chaterolfa@gmail.com</w:t>
        </w:r>
      </w:hyperlink>
      <w:r>
        <w:t xml:space="preserve">  </w:t>
      </w:r>
    </w:p>
    <w:p w:rsidR="0087426D" w:rsidRPr="001715CB" w:rsidRDefault="0087426D" w:rsidP="0087426D">
      <w:pPr>
        <w:pStyle w:val="Affiliation"/>
        <w:rPr>
          <w:b/>
          <w:bCs/>
        </w:rPr>
      </w:pPr>
      <w:r>
        <w:rPr>
          <w:b/>
          <w:bCs/>
        </w:rPr>
        <w:t>Mohamed BEN ROMDHANE</w:t>
      </w:r>
    </w:p>
    <w:p w:rsidR="0087426D" w:rsidRPr="001715CB" w:rsidRDefault="0087426D" w:rsidP="0087426D">
      <w:pPr>
        <w:pStyle w:val="Affiliation"/>
      </w:pPr>
      <w:r w:rsidRPr="001715CB">
        <w:t>Inst</w:t>
      </w:r>
      <w:r>
        <w:t>itut Supérieur de Documentation, Université de la Manouba</w:t>
      </w:r>
      <w:r>
        <w:br/>
        <w:t xml:space="preserve">Email : </w:t>
      </w:r>
      <w:hyperlink r:id="rId9" w:history="1">
        <w:r w:rsidRPr="006F4755">
          <w:rPr>
            <w:rStyle w:val="Lienhypertexte"/>
          </w:rPr>
          <w:t>mbromdhane@yahoo.fr</w:t>
        </w:r>
      </w:hyperlink>
      <w:r>
        <w:t xml:space="preserve"> </w:t>
      </w:r>
    </w:p>
    <w:p w:rsidR="00875754" w:rsidRDefault="0087426D" w:rsidP="00220DA1">
      <w:pPr>
        <w:sectPr w:rsidR="00875754" w:rsidSect="00DF5866">
          <w:headerReference w:type="even" r:id="rId10"/>
          <w:headerReference w:type="default" r:id="rId11"/>
          <w:footerReference w:type="even" r:id="rId12"/>
          <w:footerReference w:type="default" r:id="rId13"/>
          <w:footerReference w:type="first" r:id="rId14"/>
          <w:type w:val="oddPage"/>
          <w:pgSz w:w="9072" w:h="13608"/>
          <w:pgMar w:top="1134" w:right="1417" w:bottom="1134" w:left="1134" w:header="567" w:footer="567" w:gutter="284"/>
          <w:pgNumType w:start="1"/>
          <w:cols w:space="709"/>
          <w:titlePg/>
        </w:sectPr>
      </w:pPr>
      <w:r>
        <w:rPr>
          <w:rFonts w:ascii="Bodoni MT" w:hAnsi="Bodoni MT"/>
          <w:sz w:val="22"/>
        </w:rPr>
        <w:br/>
      </w:r>
    </w:p>
    <w:p w:rsidR="0067398B" w:rsidRPr="00220DA1" w:rsidRDefault="00DB52E5" w:rsidP="005B75DF">
      <w:pPr>
        <w:pStyle w:val="StyleRsumGras"/>
        <w:spacing w:before="360"/>
      </w:pPr>
      <w:r w:rsidRPr="00220DA1">
        <w:lastRenderedPageBreak/>
        <w:t xml:space="preserve">Résumé </w:t>
      </w:r>
    </w:p>
    <w:p w:rsidR="0067398B" w:rsidRDefault="004B2DA2" w:rsidP="00293DBD">
      <w:pPr>
        <w:pStyle w:val="StyleRsumAvant025cmAvant6pt"/>
        <w:spacing w:line="260" w:lineRule="exact"/>
        <w:ind w:left="0"/>
      </w:pPr>
      <w:r>
        <w:t xml:space="preserve">Cette étude montre, à travers une enquête de terrain, les attitudes de l’enseignant chercheur de </w:t>
      </w:r>
      <w:r w:rsidR="00CD7B72">
        <w:t>l’UMA</w:t>
      </w:r>
      <w:r>
        <w:t xml:space="preserve"> envers le libre accès à l’IST</w:t>
      </w:r>
      <w:r w:rsidR="00DB52E5">
        <w:t>.</w:t>
      </w:r>
      <w:r>
        <w:t xml:space="preserve"> Les résultats de cette enquête montrent que malgré </w:t>
      </w:r>
      <w:r w:rsidR="0087426D">
        <w:t>la</w:t>
      </w:r>
      <w:r w:rsidR="0029321E">
        <w:t xml:space="preserve"> connaissance du mouvement en général et des revues en libre accès en particulier, les concepts clés restent méconnus </w:t>
      </w:r>
      <w:r w:rsidR="00D139C6">
        <w:t xml:space="preserve">pour une grande </w:t>
      </w:r>
      <w:r w:rsidR="0029321E">
        <w:t xml:space="preserve">partie de </w:t>
      </w:r>
      <w:r w:rsidR="00D139C6">
        <w:t>la population interrogée</w:t>
      </w:r>
      <w:r w:rsidR="0029321E">
        <w:t xml:space="preserve">. Nous constatons aussi que malgré </w:t>
      </w:r>
      <w:r w:rsidR="00980D41">
        <w:t xml:space="preserve">le fait </w:t>
      </w:r>
      <w:r w:rsidR="0029321E">
        <w:t xml:space="preserve">qu’ils ne publient pas en </w:t>
      </w:r>
      <w:r>
        <w:t xml:space="preserve"> libre accès, la plupart de</w:t>
      </w:r>
      <w:r w:rsidR="0087426D">
        <w:t>s</w:t>
      </w:r>
      <w:r>
        <w:t xml:space="preserve"> enquêtés sont prédisposés  à </w:t>
      </w:r>
      <w:r w:rsidR="0029321E">
        <w:t>le faire dans l’avenir</w:t>
      </w:r>
      <w:r>
        <w:t xml:space="preserve">. </w:t>
      </w:r>
    </w:p>
    <w:p w:rsidR="0067398B" w:rsidRDefault="00DB52E5" w:rsidP="00293DBD">
      <w:pPr>
        <w:pStyle w:val="Motsclefs"/>
        <w:spacing w:line="260" w:lineRule="exact"/>
        <w:ind w:left="142" w:hanging="142"/>
      </w:pPr>
      <w:r>
        <w:rPr>
          <w:b/>
          <w:bCs/>
        </w:rPr>
        <w:t>Mots-clés</w:t>
      </w:r>
      <w:r>
        <w:t xml:space="preserve">. </w:t>
      </w:r>
      <w:r w:rsidR="00077FF6">
        <w:t>Libre accès</w:t>
      </w:r>
      <w:r>
        <w:t xml:space="preserve">, </w:t>
      </w:r>
      <w:r w:rsidR="00077FF6">
        <w:t>IST</w:t>
      </w:r>
      <w:r>
        <w:t xml:space="preserve">, </w:t>
      </w:r>
      <w:r w:rsidR="00077FF6">
        <w:t>enseignant-chercheur</w:t>
      </w:r>
      <w:r w:rsidR="000B25CB">
        <w:t>, Tunisie</w:t>
      </w:r>
      <w:r w:rsidR="00077FF6">
        <w:t>, Université de la Manouba</w:t>
      </w:r>
      <w:r>
        <w:t>.</w:t>
      </w:r>
    </w:p>
    <w:p w:rsidR="0067398B" w:rsidRPr="00D13E85" w:rsidRDefault="00DB52E5" w:rsidP="001B02D0">
      <w:pPr>
        <w:pStyle w:val="StyleRsumGras"/>
        <w:rPr>
          <w:lang w:val="en-US"/>
        </w:rPr>
      </w:pPr>
      <w:r w:rsidRPr="00D13E85">
        <w:rPr>
          <w:lang w:val="en-US"/>
        </w:rPr>
        <w:lastRenderedPageBreak/>
        <w:t xml:space="preserve">Abstract </w:t>
      </w:r>
    </w:p>
    <w:p w:rsidR="00293DBD" w:rsidRDefault="001B02D0" w:rsidP="00293DBD">
      <w:pPr>
        <w:pStyle w:val="StyleRsumAvant025cmAvant6pt"/>
        <w:spacing w:line="260" w:lineRule="exact"/>
        <w:ind w:left="0"/>
        <w:rPr>
          <w:lang w:val="en-US"/>
        </w:rPr>
      </w:pPr>
      <w:r w:rsidRPr="00D13E85">
        <w:rPr>
          <w:lang w:val="en-US"/>
        </w:rPr>
        <w:t xml:space="preserve">This study shows, through a field survey, the attitudes of the teacher/researcher of Manouba University towards open access repositories of Scientific and Technical Information. </w:t>
      </w:r>
    </w:p>
    <w:p w:rsidR="001B02D0" w:rsidRPr="00D13E85" w:rsidRDefault="001B02D0" w:rsidP="00293DBD">
      <w:pPr>
        <w:pStyle w:val="StyleRsumAvant025cmAvant6pt"/>
        <w:spacing w:line="260" w:lineRule="exact"/>
        <w:ind w:left="0"/>
        <w:rPr>
          <w:lang w:val="en-US"/>
        </w:rPr>
      </w:pPr>
      <w:r w:rsidRPr="00D13E85">
        <w:rPr>
          <w:lang w:val="en-US"/>
        </w:rPr>
        <w:t xml:space="preserve">The results of this survey show that despite a good knowledge of the open acces movement and its journals the core concepts remain unknown for the population surveyed. We also find that even if the authors do not </w:t>
      </w:r>
      <w:r w:rsidR="00293DBD">
        <w:rPr>
          <w:lang w:val="en-US"/>
        </w:rPr>
        <w:t xml:space="preserve">publish in open access journals, </w:t>
      </w:r>
      <w:r w:rsidRPr="00D13E85">
        <w:rPr>
          <w:lang w:val="en-US"/>
        </w:rPr>
        <w:t xml:space="preserve">most of the respondents are predisposed to do it in the future. </w:t>
      </w:r>
    </w:p>
    <w:p w:rsidR="00875754" w:rsidRPr="00D13E85" w:rsidRDefault="001B02D0" w:rsidP="00293DBD">
      <w:pPr>
        <w:pStyle w:val="StyleRsumAvant025cmAvant6pt"/>
        <w:spacing w:line="260" w:lineRule="exact"/>
        <w:ind w:left="0"/>
        <w:rPr>
          <w:lang w:val="en-US"/>
        </w:rPr>
        <w:sectPr w:rsidR="00875754" w:rsidRPr="00D13E85" w:rsidSect="00A90812">
          <w:type w:val="continuous"/>
          <w:pgSz w:w="9072" w:h="13608"/>
          <w:pgMar w:top="1134" w:right="1417" w:bottom="1134" w:left="1134" w:header="567" w:footer="567" w:gutter="284"/>
          <w:pgNumType w:start="1"/>
          <w:cols w:num="2" w:space="283"/>
          <w:titlePg/>
        </w:sectPr>
      </w:pPr>
      <w:r w:rsidRPr="00D13E85">
        <w:rPr>
          <w:rFonts w:eastAsia="Times"/>
          <w:b/>
          <w:bCs/>
          <w:lang w:val="en-US"/>
        </w:rPr>
        <w:t>Keywords.</w:t>
      </w:r>
      <w:r w:rsidR="000B25CB">
        <w:rPr>
          <w:lang w:val="en-US"/>
        </w:rPr>
        <w:t xml:space="preserve"> Open access, STI, </w:t>
      </w:r>
      <w:r w:rsidRPr="00D13E85">
        <w:rPr>
          <w:lang w:val="en-US"/>
        </w:rPr>
        <w:t>teacher/researcher</w:t>
      </w:r>
      <w:r w:rsidR="000B25CB">
        <w:rPr>
          <w:lang w:val="en-US"/>
        </w:rPr>
        <w:t>,</w:t>
      </w:r>
      <w:r w:rsidR="000B25CB" w:rsidRPr="000B25CB">
        <w:rPr>
          <w:lang w:val="en-US"/>
        </w:rPr>
        <w:t xml:space="preserve"> </w:t>
      </w:r>
      <w:r w:rsidR="000B25CB">
        <w:rPr>
          <w:lang w:val="en-US"/>
        </w:rPr>
        <w:t>Tunisia</w:t>
      </w:r>
      <w:r w:rsidRPr="00D13E85">
        <w:rPr>
          <w:lang w:val="en-US"/>
        </w:rPr>
        <w:t>, Manouba University.</w:t>
      </w:r>
      <w:r w:rsidR="005B75DF">
        <w:rPr>
          <w:lang w:val="en-US"/>
        </w:rPr>
        <w:tab/>
      </w:r>
    </w:p>
    <w:p w:rsidR="00DB52E5" w:rsidRDefault="00DB52E5">
      <w:pPr>
        <w:pStyle w:val="Titre1"/>
      </w:pPr>
      <w:r>
        <w:lastRenderedPageBreak/>
        <w:t>Introduction</w:t>
      </w:r>
    </w:p>
    <w:p w:rsidR="00D964FE" w:rsidRDefault="00D964FE" w:rsidP="00D964FE">
      <w:pPr>
        <w:pStyle w:val="Paragraphe"/>
      </w:pPr>
      <w:r w:rsidRPr="00420A9C">
        <w:t xml:space="preserve">Si le mouvement du libre accès à l’Information Scientifique et Technique (IST) atteint une certaine maturité dans plusieurs régions du globe au </w:t>
      </w:r>
      <w:r>
        <w:t>point de devenir une affaire de</w:t>
      </w:r>
      <w:r w:rsidR="00293DBD">
        <w:t>s</w:t>
      </w:r>
      <w:r w:rsidRPr="00420A9C">
        <w:t xml:space="preserve"> décideurs dans plusieurs pays</w:t>
      </w:r>
      <w:r w:rsidRPr="00420A9C">
        <w:rPr>
          <w:rStyle w:val="Appelnotedebasdep"/>
          <w:rFonts w:ascii="Times New Roman" w:hAnsi="Times New Roman"/>
          <w:sz w:val="24"/>
          <w:szCs w:val="24"/>
        </w:rPr>
        <w:footnoteReference w:id="2"/>
      </w:r>
      <w:r w:rsidR="000B25CB">
        <w:t>, il reste très limité</w:t>
      </w:r>
      <w:r w:rsidRPr="00420A9C">
        <w:t xml:space="preserve"> dans le monde arabe et demeure à ses débuts. </w:t>
      </w:r>
    </w:p>
    <w:p w:rsidR="0052232A" w:rsidRPr="00420A9C" w:rsidRDefault="0052232A" w:rsidP="003A11DD">
      <w:pPr>
        <w:pStyle w:val="Paragraphe"/>
      </w:pPr>
      <w:r>
        <w:t>Enseignants-</w:t>
      </w:r>
      <w:r w:rsidR="00FF3C90">
        <w:t>chercheurs, éditeurs scientifiques, documentalistes</w:t>
      </w:r>
      <w:r w:rsidR="00A00A1E">
        <w:t>/</w:t>
      </w:r>
      <w:r w:rsidR="00FF3C90">
        <w:t xml:space="preserve"> bibliothécaires</w:t>
      </w:r>
      <w:r w:rsidR="00C752AE">
        <w:t>,</w:t>
      </w:r>
      <w:r>
        <w:t xml:space="preserve"> </w:t>
      </w:r>
      <w:r w:rsidR="00C752AE">
        <w:t xml:space="preserve">bailleurs de fonds, institutions d’enseignement et de recherche et </w:t>
      </w:r>
      <w:r>
        <w:t>informaticiens sont les principaux acteurs du libre accès à l’IST dans ses deux volets à savoir la voie verte et la voie dorée. Si le chercheur (auteur/lecteur)</w:t>
      </w:r>
      <w:r w:rsidR="006F1383">
        <w:t xml:space="preserve"> occidental</w:t>
      </w:r>
      <w:r w:rsidR="00A00A1E">
        <w:t>,</w:t>
      </w:r>
      <w:r>
        <w:t xml:space="preserve"> </w:t>
      </w:r>
      <w:r w:rsidR="00A00A1E">
        <w:t>en tant que</w:t>
      </w:r>
      <w:r>
        <w:t xml:space="preserve"> premier bénéficiaire de ce nouveau paysage de l’IST basé sur le libre accès</w:t>
      </w:r>
      <w:r w:rsidR="00A00A1E">
        <w:t>,</w:t>
      </w:r>
      <w:r>
        <w:t xml:space="preserve"> </w:t>
      </w:r>
      <w:r w:rsidR="00A00A1E">
        <w:t>a été l’initiateur de ce mouvement, citons Paul Ginsparg</w:t>
      </w:r>
      <w:r w:rsidR="006F1383">
        <w:t xml:space="preserve">, chercheur en  sciences physiques et  </w:t>
      </w:r>
      <w:r w:rsidR="00A00A1E">
        <w:t xml:space="preserve"> </w:t>
      </w:r>
      <w:r w:rsidR="006F1383">
        <w:t>initiateur du premier dépôt d’archives ouvertes  arXiv</w:t>
      </w:r>
      <w:r w:rsidR="00A00A1E">
        <w:t xml:space="preserve"> </w:t>
      </w:r>
      <w:r w:rsidR="006F1383">
        <w:t xml:space="preserve">et Stevan Harnad, chercheur en sciences cognitives et pionnier de ce mouvement, il reste en marge de ce mouvement dans le monde arabe. Plusieurs études </w:t>
      </w:r>
      <w:r w:rsidR="00812382">
        <w:t>(Gdoura 2008 et 2009, Boukacem et al. 2008, Ben Romdhane et Ouerfelli 201</w:t>
      </w:r>
      <w:r w:rsidR="003A11DD">
        <w:t>2</w:t>
      </w:r>
      <w:r w:rsidR="00812382">
        <w:t>) montrent que l</w:t>
      </w:r>
      <w:r w:rsidR="006F1383">
        <w:t xml:space="preserve">e chercheur arabe est méconnaissant de ce mouvement et ne bénéficie pas </w:t>
      </w:r>
      <w:r w:rsidR="006B15C8">
        <w:t xml:space="preserve">des </w:t>
      </w:r>
      <w:r w:rsidR="00812382">
        <w:t xml:space="preserve">potentialités et </w:t>
      </w:r>
      <w:r w:rsidR="006B15C8">
        <w:t xml:space="preserve">des </w:t>
      </w:r>
      <w:r w:rsidR="00812382">
        <w:t>avantages offerts par les revues en libre accès et les archives ouvertes</w:t>
      </w:r>
      <w:r w:rsidR="006F1383">
        <w:t xml:space="preserve">.   </w:t>
      </w:r>
    </w:p>
    <w:p w:rsidR="00D964FE" w:rsidRPr="00420A9C" w:rsidRDefault="00D964FE" w:rsidP="00645E3A">
      <w:pPr>
        <w:pStyle w:val="Paragraphe"/>
      </w:pPr>
      <w:r w:rsidRPr="00420A9C">
        <w:t xml:space="preserve">Dans le </w:t>
      </w:r>
      <w:r w:rsidR="00645E3A">
        <w:t>milieu</w:t>
      </w:r>
      <w:r w:rsidRPr="00420A9C">
        <w:t xml:space="preserve"> universitaire, le libre accès joue un rôle déterminant et offre des avantages indéniables aux établissements d’enseignement en général et aux chercheurs en particulier  en leur permettant d’augmenter la visibilité, l’usage et l’impact de leurs travaux de recherche. Très conscients de ces enjeux, plusieurs pays en développement notamment de l’Amérique Latine et du continent africain se sont intégrés massivement dans ce mouvement.</w:t>
      </w:r>
    </w:p>
    <w:p w:rsidR="005910CD" w:rsidRDefault="005910CD" w:rsidP="00D4202F">
      <w:pPr>
        <w:pStyle w:val="Paragraphe"/>
      </w:pPr>
      <w:r w:rsidRPr="00D4202F">
        <w:t>Plusieurs</w:t>
      </w:r>
      <w:r>
        <w:t xml:space="preserve"> études, faites dans des milieux très différents, montrent qu’il existe un grand écart entre l</w:t>
      </w:r>
      <w:r w:rsidR="00D4202F">
        <w:t xml:space="preserve">es </w:t>
      </w:r>
      <w:r>
        <w:t>intention</w:t>
      </w:r>
      <w:r w:rsidR="00D4202F">
        <w:t>s</w:t>
      </w:r>
      <w:r>
        <w:t xml:space="preserve"> </w:t>
      </w:r>
      <w:r w:rsidR="00D4202F">
        <w:t xml:space="preserve">et les pratiques réelles </w:t>
      </w:r>
      <w:r>
        <w:t xml:space="preserve">des chercheurs </w:t>
      </w:r>
      <w:r w:rsidR="00C27A0D">
        <w:t>envers le libre accès surtout en absence de politiques claires d’institutions voire de pays dans ce domaine (Swan, 2006 ; Gdoura, 2008 ; Boukacem et al., 2008</w:t>
      </w:r>
      <w:r w:rsidR="00D4202F">
        <w:t>)</w:t>
      </w:r>
      <w:r w:rsidR="00C27A0D">
        <w:t xml:space="preserve">. </w:t>
      </w:r>
      <w:r w:rsidR="00D4202F">
        <w:t xml:space="preserve">Les chercheurs se déclarent prêts à s’investir dans le libre accès et à publier et/ou </w:t>
      </w:r>
      <w:r w:rsidR="00A77675">
        <w:t xml:space="preserve">à </w:t>
      </w:r>
      <w:r w:rsidR="00D4202F">
        <w:t xml:space="preserve">déposer en libre accès, mais dans la pratique ils s’impliquent très peu dans ce mouvement. </w:t>
      </w:r>
    </w:p>
    <w:p w:rsidR="00B1521A" w:rsidRPr="00B1521A" w:rsidRDefault="004536FA" w:rsidP="007730DB">
      <w:pPr>
        <w:pStyle w:val="Paragraphe"/>
      </w:pPr>
      <w:r>
        <w:t xml:space="preserve">Des études plus </w:t>
      </w:r>
      <w:r w:rsidRPr="007730DB">
        <w:t>récentes</w:t>
      </w:r>
      <w:r>
        <w:t xml:space="preserve"> faites par Creaser et al (201</w:t>
      </w:r>
      <w:r w:rsidR="00263F12">
        <w:t>0</w:t>
      </w:r>
      <w:r>
        <w:t xml:space="preserve">) dans le cadre d’une enquête sur une population de plus de 3000 chercheurs </w:t>
      </w:r>
      <w:r w:rsidR="00B5085C">
        <w:t xml:space="preserve">réalisée en 2009 </w:t>
      </w:r>
      <w:r w:rsidR="00B5085C">
        <w:lastRenderedPageBreak/>
        <w:t xml:space="preserve">dans </w:t>
      </w:r>
      <w:r>
        <w:t xml:space="preserve">plusieurs pays européens montre une bonne compréhension et appréciation des termes du libre accès et du mouvement en général malgré la différence enregistré entre les différentes disciplines. </w:t>
      </w:r>
      <w:r w:rsidR="00B5085C">
        <w:t>La majorité des répondants déclarent que les principaux avantages de dépôt des publications dans les archives ouvertes sont la grande visibilité de ces publications et l’augmentation du taux de citation.</w:t>
      </w:r>
    </w:p>
    <w:p w:rsidR="00D964FE" w:rsidRPr="00420A9C" w:rsidRDefault="00263F12" w:rsidP="00263F12">
      <w:pPr>
        <w:pStyle w:val="Paragraphe"/>
      </w:pPr>
      <w:r>
        <w:t>Dans les pays arabes et e</w:t>
      </w:r>
      <w:r w:rsidR="00D964FE" w:rsidRPr="00420A9C">
        <w:t>n absence de stratégies et de politiques claires envers le libre accès, les universités restent malheureusement à l’écart de ce mouvement et le nombre des entrepôts d’archives ouvertes et des revues scientifiques en libre accès est limité à quelques initiatives très modestes</w:t>
      </w:r>
      <w:r w:rsidR="00B1521A">
        <w:rPr>
          <w:rStyle w:val="Appelnotedebasdep"/>
        </w:rPr>
        <w:footnoteReference w:id="3"/>
      </w:r>
      <w:r w:rsidR="00D964FE" w:rsidRPr="00420A9C">
        <w:t xml:space="preserve">. </w:t>
      </w:r>
    </w:p>
    <w:p w:rsidR="00720007" w:rsidRDefault="00D964FE" w:rsidP="00D964FE">
      <w:pPr>
        <w:pStyle w:val="Paragraphe"/>
      </w:pPr>
      <w:r w:rsidRPr="00420A9C">
        <w:t xml:space="preserve">Dans le cadre de cette communication nous proposons des réflexions et des éléments de réponse aux interrogations suivantes : </w:t>
      </w:r>
    </w:p>
    <w:p w:rsidR="00720007" w:rsidRDefault="006A38AE" w:rsidP="00720007">
      <w:pPr>
        <w:pStyle w:val="Paragraphe"/>
        <w:numPr>
          <w:ilvl w:val="0"/>
          <w:numId w:val="3"/>
        </w:numPr>
      </w:pPr>
      <w:r>
        <w:t>Le</w:t>
      </w:r>
      <w:r w:rsidR="00720007">
        <w:t xml:space="preserve"> chercheur de l’Université de la Manouba</w:t>
      </w:r>
      <w:r w:rsidR="00194B87">
        <w:rPr>
          <w:rStyle w:val="Appelnotedebasdep"/>
        </w:rPr>
        <w:footnoteReference w:id="4"/>
      </w:r>
      <w:r w:rsidR="00720007">
        <w:t xml:space="preserve"> (UMA) </w:t>
      </w:r>
      <w:r>
        <w:t xml:space="preserve">est-il bien informé </w:t>
      </w:r>
      <w:r w:rsidR="00720007">
        <w:t>du mouvement du libre accès ?</w:t>
      </w:r>
    </w:p>
    <w:p w:rsidR="00720007" w:rsidRDefault="00720007" w:rsidP="00720007">
      <w:pPr>
        <w:pStyle w:val="Paragraphe"/>
        <w:numPr>
          <w:ilvl w:val="0"/>
          <w:numId w:val="3"/>
        </w:numPr>
      </w:pPr>
      <w:r>
        <w:t>Q</w:t>
      </w:r>
      <w:r w:rsidR="00D964FE" w:rsidRPr="00420A9C">
        <w:t>uel</w:t>
      </w:r>
      <w:r>
        <w:t>le</w:t>
      </w:r>
      <w:r w:rsidR="00D964FE" w:rsidRPr="00420A9C">
        <w:t xml:space="preserve"> est l’attitude du chercheur tunisien à l’Université de la Manouba (UMA) envers ce mouvement </w:t>
      </w:r>
      <w:r>
        <w:t xml:space="preserve">dans ses deux voies verte et dorée </w:t>
      </w:r>
      <w:r w:rsidR="00D964FE" w:rsidRPr="00420A9C">
        <w:t xml:space="preserve">? </w:t>
      </w:r>
    </w:p>
    <w:p w:rsidR="00D964FE" w:rsidRPr="00420A9C" w:rsidRDefault="00D964FE" w:rsidP="00720007">
      <w:pPr>
        <w:pStyle w:val="Paragraphe"/>
        <w:numPr>
          <w:ilvl w:val="0"/>
          <w:numId w:val="3"/>
        </w:numPr>
      </w:pPr>
      <w:r w:rsidRPr="00420A9C">
        <w:t xml:space="preserve">L’enseignant-chercheur de l’UMA, est-t-il prêt à s’intégrer dans ce mouvement ? </w:t>
      </w:r>
    </w:p>
    <w:p w:rsidR="00150F1F" w:rsidRDefault="00150F1F" w:rsidP="00150F1F">
      <w:pPr>
        <w:pStyle w:val="Titre1"/>
      </w:pPr>
      <w:r>
        <w:t>Méthodologie</w:t>
      </w:r>
    </w:p>
    <w:p w:rsidR="00DB30C2" w:rsidRDefault="00B1521A" w:rsidP="003917D2">
      <w:pPr>
        <w:pStyle w:val="Paragraphe"/>
      </w:pPr>
      <w:r w:rsidRPr="00770D1A">
        <w:t xml:space="preserve">Afin de répondre à ces interrogations, et dans le cadre d’un projet de mise en œuvre d’une archive ouverte institutionnelle de l’UMA, une enquête a été menée de juillet à novembre de l’année dernière </w:t>
      </w:r>
      <w:r w:rsidR="003917D2">
        <w:t xml:space="preserve">(2013) </w:t>
      </w:r>
      <w:r w:rsidRPr="00770D1A">
        <w:t xml:space="preserve">auprès de 103 enseignants-chercheurs de l’université par le groupe de recherche « Libre accès à l’information scientifique et technique » de l’Unité de recherche « Bibliothèques numériques et patrimoine » de l’Institut Supérieur de Documentation de Tunis. </w:t>
      </w:r>
    </w:p>
    <w:p w:rsidR="00B1521A" w:rsidRDefault="00DB30C2" w:rsidP="00DB30C2">
      <w:pPr>
        <w:pStyle w:val="Paragraphe"/>
      </w:pPr>
      <w:r>
        <w:lastRenderedPageBreak/>
        <w:t>Le questionnaire en ligne a été testé dans un premier temps sur une dizaine d’enseignants chercheurs de l’ISD principalement mais aussi d’autres établissements de l’UMA avant d’être généralisé sur les enseignants des autres institutions de l’université. Cette pré-enquête nous a permis de réviser certaines questions, de supprimer d’autres et de reformuler quelques autres questions qui n’étaient pas bien comprises par nos questionnés. Ce qui nous a permis de finaliser le questionnaire</w:t>
      </w:r>
      <w:r w:rsidR="00BE53B0">
        <w:rPr>
          <w:rStyle w:val="Appelnotedebasdep"/>
        </w:rPr>
        <w:footnoteReference w:id="5"/>
      </w:r>
      <w:r>
        <w:t xml:space="preserve"> qui  comportait</w:t>
      </w:r>
      <w:r w:rsidR="00B1521A" w:rsidRPr="00770D1A">
        <w:t xml:space="preserve"> 23 questions qui sont reparties sur quatre rubriques : identification, usage de l’information scientifique et technique, pratiques de production et usa</w:t>
      </w:r>
      <w:r w:rsidR="003917D2">
        <w:t>ges des documents scientifiques et enfin c</w:t>
      </w:r>
      <w:r w:rsidR="00B1521A" w:rsidRPr="00770D1A">
        <w:t xml:space="preserve">onnaissance et publication en libre accès. </w:t>
      </w:r>
    </w:p>
    <w:p w:rsidR="00DB30C2" w:rsidRDefault="009F51FF" w:rsidP="00DB30C2">
      <w:pPr>
        <w:pStyle w:val="Paragraphe"/>
      </w:pPr>
      <w:r>
        <w:t>Il est à signaler</w:t>
      </w:r>
      <w:r w:rsidR="00DB30C2">
        <w:t xml:space="preserve"> qu’aucun questionnaire n’a été rempli sur support papier et que toutes les personnes répondant l’ont rempli en ligne. Pour la diffusion, nous avons utilisé les mailing listes des enseignants et des chercheurs des différents établissements</w:t>
      </w:r>
      <w:r w:rsidR="00D66DBE">
        <w:t xml:space="preserve"> de l’université</w:t>
      </w:r>
      <w:r w:rsidR="00DB30C2">
        <w:t>, les adresses émail personnelles, les listes de diffusion du Centre de Calcul El Khawaresmi (CCK) le fournisseur des services Internet  pour les différents établissements de  l’enseignement supérieur et enfin les réseaux sociaux et principalement le réseau Facebook le plus utilisé en Tunisie.</w:t>
      </w:r>
      <w:r>
        <w:t xml:space="preserve"> Cette nouvelle façon de diffusion du questionnaire ne nous laisse pas quantifier la population touchée et déterminer le pourcentage des répondants. </w:t>
      </w:r>
    </w:p>
    <w:p w:rsidR="000B2562" w:rsidRPr="00BA7A02" w:rsidRDefault="0085689C" w:rsidP="000B2562">
      <w:pPr>
        <w:pStyle w:val="Paragraphe"/>
      </w:pPr>
      <w:r w:rsidRPr="0085689C">
        <w:t>Notre enquête a touché 103 enseignants-chercheurs répartis presque à égalité entre hommes et femmes</w:t>
      </w:r>
      <w:r>
        <w:t xml:space="preserve"> (55 femmes </w:t>
      </w:r>
      <w:r w:rsidR="00EB417B">
        <w:t xml:space="preserve">soit 53% </w:t>
      </w:r>
      <w:r>
        <w:t>et 48 hommes</w:t>
      </w:r>
      <w:r w:rsidR="00EB417B">
        <w:t xml:space="preserve"> soit 47%</w:t>
      </w:r>
      <w:r>
        <w:t>).</w:t>
      </w:r>
    </w:p>
    <w:p w:rsidR="000B2562" w:rsidRDefault="00B1521A" w:rsidP="00C96BD4">
      <w:pPr>
        <w:pStyle w:val="Paragraphe"/>
      </w:pPr>
      <w:r w:rsidRPr="00770D1A">
        <w:t xml:space="preserve">Dans le cadre de la présente communication, nous nous sommes appuyés sur l’analyse des résultats de </w:t>
      </w:r>
      <w:r w:rsidR="00D66DBE">
        <w:t>cette enquête et principalement de la</w:t>
      </w:r>
      <w:r w:rsidRPr="00770D1A">
        <w:t xml:space="preserve"> dernière rubrique</w:t>
      </w:r>
      <w:r w:rsidR="00D66DBE">
        <w:t xml:space="preserve">, mentionnée ci-dessus, </w:t>
      </w:r>
      <w:r w:rsidRPr="00770D1A">
        <w:t>afin  d’examiner les attitudes des enseignants-chercheurs de l’université envers le mouvement du libre accès en général et leurs prédisposition à utiliser les ressources et à soumettre leurs publications en libre accès.</w:t>
      </w:r>
    </w:p>
    <w:p w:rsidR="000C1D66" w:rsidRDefault="000C1D66" w:rsidP="000B2562">
      <w:pPr>
        <w:pStyle w:val="Titre1"/>
      </w:pPr>
      <w:r>
        <w:t>Connaissance de l’enseignant-chercheur de l’UMA du  mouvement du libre accès et de ses principes et usage des ressources en libre accès</w:t>
      </w:r>
    </w:p>
    <w:p w:rsidR="009533F2" w:rsidRDefault="00BE53B0" w:rsidP="00C96BD4">
      <w:pPr>
        <w:pStyle w:val="Paragraphe"/>
        <w:rPr>
          <w:color w:val="0000FF"/>
        </w:rPr>
      </w:pPr>
      <w:r w:rsidRPr="002F57B1">
        <w:t>L’</w:t>
      </w:r>
      <w:r>
        <w:t>enquête</w:t>
      </w:r>
      <w:r w:rsidRPr="002F57B1">
        <w:t xml:space="preserve"> a démontré que la majorité (64%) des chercheurs de l’UMA qui ont répondu au questionnaire et </w:t>
      </w:r>
      <w:r w:rsidR="00C96BD4">
        <w:t>qui appartiennent</w:t>
      </w:r>
      <w:r w:rsidRPr="002F57B1">
        <w:t xml:space="preserve"> à plus </w:t>
      </w:r>
      <w:r w:rsidR="00C96BD4">
        <w:t>de</w:t>
      </w:r>
      <w:r w:rsidRPr="002F57B1">
        <w:t xml:space="preserve"> 15 disciplines, connaissent le mouvement du libre accès.</w:t>
      </w:r>
      <w:r>
        <w:t xml:space="preserve"> Néanmoins, nous </w:t>
      </w:r>
      <w:r>
        <w:lastRenderedPageBreak/>
        <w:t>avons remarqué une variation dans les proportions selon les disciplines comme le montre la figure ci- dessous</w:t>
      </w:r>
      <w:r w:rsidR="00FB0F39">
        <w:t xml:space="preserve"> (figure 1)</w:t>
      </w:r>
      <w:r>
        <w:t xml:space="preserve">. </w:t>
      </w:r>
    </w:p>
    <w:p w:rsidR="00BE53B0" w:rsidRDefault="00BE53B0" w:rsidP="00FB0F39">
      <w:pPr>
        <w:pStyle w:val="Paragraphe"/>
      </w:pPr>
      <w:r>
        <w:t>Il s’agit</w:t>
      </w:r>
      <w:r w:rsidR="009533F2">
        <w:t xml:space="preserve"> </w:t>
      </w:r>
      <w:r>
        <w:t xml:space="preserve">du même constat fait dans un article de Wahid Gdoura </w:t>
      </w:r>
      <w:r w:rsidR="009533F2">
        <w:t>(</w:t>
      </w:r>
      <w:r w:rsidRPr="00230F42">
        <w:t>2009)</w:t>
      </w:r>
      <w:r>
        <w:t xml:space="preserve"> qui précise que </w:t>
      </w:r>
      <w:r w:rsidRPr="00230F42">
        <w:t xml:space="preserve">« Concernant le degré de connaissance des </w:t>
      </w:r>
      <w:r>
        <w:t>concepts relatifs à Open Access</w:t>
      </w:r>
      <w:r w:rsidRPr="00230F42">
        <w:t>, plus de la moitié des chercheurs ont déclaré être informés des concepts relatifs à l’accès ouvert : 170 informés soit 55.73 %. Tunisie (63.6</w:t>
      </w:r>
      <w:r>
        <w:t>%</w:t>
      </w:r>
      <w:r w:rsidRPr="00230F42">
        <w:t>) Maroc (33.6 %) S</w:t>
      </w:r>
      <w:r>
        <w:t xml:space="preserve">ultan </w:t>
      </w:r>
      <w:r w:rsidRPr="00230F42">
        <w:t>Oman (54.15%) Emirats (62.9%)</w:t>
      </w:r>
      <w:r w:rsidR="009533F2">
        <w:t> »</w:t>
      </w:r>
      <w:r w:rsidRPr="00230F42">
        <w:t xml:space="preserve">. </w:t>
      </w:r>
    </w:p>
    <w:p w:rsidR="00BE53B0" w:rsidRDefault="00C543DB" w:rsidP="001407AC">
      <w:pPr>
        <w:pStyle w:val="Paragraphe"/>
      </w:pPr>
      <w:r w:rsidRPr="00C543DB">
        <w:rPr>
          <w:noProof/>
          <w:color w:val="0000FF"/>
        </w:rPr>
        <w:pict>
          <v:shapetype id="_x0000_t202" coordsize="21600,21600" o:spt="202" path="m,l,21600r21600,l21600,xe">
            <v:stroke joinstyle="miter"/>
            <v:path gradientshapeok="t" o:connecttype="rect"/>
          </v:shapetype>
          <v:shape id="_x0000_s1173" type="#_x0000_t202" style="position:absolute;left:0;text-align:left;margin-left:103.3pt;margin-top:281.3pt;width:245pt;height:13.5pt;z-index:251653632" stroked="f">
            <v:textbox style="mso-next-textbox:#_x0000_s1173" inset="0,0,0,0">
              <w:txbxContent>
                <w:p w:rsidR="006D06C4" w:rsidRDefault="006D06C4" w:rsidP="006D06C4">
                  <w:pPr>
                    <w:pStyle w:val="Lgende"/>
                  </w:pPr>
                  <w:r w:rsidRPr="008E1C03">
                    <w:rPr>
                      <w:b/>
                      <w:bCs/>
                    </w:rPr>
                    <w:t xml:space="preserve">Figure </w:t>
                  </w:r>
                  <w:r w:rsidR="00C543DB" w:rsidRPr="008E1C03">
                    <w:rPr>
                      <w:b/>
                      <w:bCs/>
                    </w:rPr>
                    <w:fldChar w:fldCharType="begin"/>
                  </w:r>
                  <w:r w:rsidRPr="008E1C03">
                    <w:rPr>
                      <w:b/>
                      <w:bCs/>
                    </w:rPr>
                    <w:instrText xml:space="preserve"> SEQ Figure \* ARABIC </w:instrText>
                  </w:r>
                  <w:r w:rsidR="00C543DB" w:rsidRPr="008E1C03">
                    <w:rPr>
                      <w:b/>
                      <w:bCs/>
                    </w:rPr>
                    <w:fldChar w:fldCharType="separate"/>
                  </w:r>
                  <w:r w:rsidR="000A011E">
                    <w:rPr>
                      <w:b/>
                      <w:bCs/>
                      <w:noProof/>
                    </w:rPr>
                    <w:t>1</w:t>
                  </w:r>
                  <w:r w:rsidR="00C543DB" w:rsidRPr="008E1C03">
                    <w:rPr>
                      <w:b/>
                      <w:bCs/>
                    </w:rPr>
                    <w:fldChar w:fldCharType="end"/>
                  </w:r>
                  <w:r>
                    <w:t> :</w:t>
                  </w:r>
                  <w:r w:rsidRPr="006D06C4">
                    <w:t xml:space="preserve"> </w:t>
                  </w:r>
                  <w:r>
                    <w:t>degré de connaissance du libre accès par discipline</w:t>
                  </w:r>
                </w:p>
              </w:txbxContent>
            </v:textbox>
            <w10:wrap type="square"/>
          </v:shape>
        </w:pict>
      </w:r>
      <w:r w:rsidR="00711440">
        <w:rPr>
          <w:noProof/>
          <w:color w:val="0000FF"/>
        </w:rPr>
        <w:drawing>
          <wp:anchor distT="0" distB="0" distL="114300" distR="114300" simplePos="0" relativeHeight="251668992" behindDoc="0" locked="0" layoutInCell="1" allowOverlap="1">
            <wp:simplePos x="0" y="0"/>
            <wp:positionH relativeFrom="margin">
              <wp:posOffset>1096010</wp:posOffset>
            </wp:positionH>
            <wp:positionV relativeFrom="margin">
              <wp:align>center</wp:align>
            </wp:positionV>
            <wp:extent cx="3302000" cy="2540000"/>
            <wp:effectExtent l="19050" t="0" r="0" b="0"/>
            <wp:wrapSquare wrapText="bothSides"/>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5"/>
                    <a:srcRect/>
                    <a:stretch>
                      <a:fillRect/>
                    </a:stretch>
                  </pic:blipFill>
                  <pic:spPr bwMode="auto">
                    <a:xfrm>
                      <a:off x="0" y="0"/>
                      <a:ext cx="3302000" cy="2540000"/>
                    </a:xfrm>
                    <a:prstGeom prst="rect">
                      <a:avLst/>
                    </a:prstGeom>
                    <a:noFill/>
                    <a:ln w="9525">
                      <a:noFill/>
                      <a:miter lim="800000"/>
                      <a:headEnd/>
                      <a:tailEnd/>
                    </a:ln>
                  </pic:spPr>
                </pic:pic>
              </a:graphicData>
            </a:graphic>
          </wp:anchor>
        </w:drawing>
      </w:r>
      <w:r w:rsidR="00BE53B0">
        <w:t>Selon la figure</w:t>
      </w:r>
      <w:r w:rsidR="001407AC">
        <w:t>1</w:t>
      </w:r>
      <w:r w:rsidR="00BE53B0">
        <w:t xml:space="preserve"> </w:t>
      </w:r>
      <w:r w:rsidR="00BE53B0" w:rsidRPr="00987586">
        <w:t>les</w:t>
      </w:r>
      <w:r w:rsidR="00BE53B0">
        <w:t xml:space="preserve"> enseignants-chercheurs en sciences de l’information et de la communication </w:t>
      </w:r>
      <w:r w:rsidR="00FB0F39">
        <w:t xml:space="preserve">sont </w:t>
      </w:r>
      <w:r w:rsidR="00BE53B0">
        <w:t>au courant des évolutions dans le domaine du libre accès à l’IST.</w:t>
      </w:r>
      <w:r w:rsidR="00FB0F39">
        <w:t xml:space="preserve"> </w:t>
      </w:r>
      <w:r w:rsidR="00711440">
        <w:t>Ils</w:t>
      </w:r>
      <w:r w:rsidR="00FB0F39">
        <w:t xml:space="preserve"> </w:t>
      </w:r>
      <w:r w:rsidR="00BE53B0">
        <w:t xml:space="preserve">s’avèrent les plus conscients des avantages de l’usage des </w:t>
      </w:r>
      <w:r w:rsidR="001407AC">
        <w:t>res</w:t>
      </w:r>
      <w:r w:rsidR="00BE53B0">
        <w:t>sources en libre accès puisqu’ils forment principalement des spécialistes en gestion de l’information et des bibliothécaires. C</w:t>
      </w:r>
      <w:r w:rsidR="00BE53B0" w:rsidRPr="00917698">
        <w:t>es derniers seraient les premiers bénéficiaires d</w:t>
      </w:r>
      <w:r w:rsidR="00BE53B0">
        <w:t xml:space="preserve">’intégrer le mouvement du libre accès puisqu’ils sont </w:t>
      </w:r>
      <w:r w:rsidR="00BE53B0" w:rsidRPr="00917698">
        <w:t>toujours</w:t>
      </w:r>
      <w:r w:rsidR="000F218A">
        <w:t xml:space="preserve"> </w:t>
      </w:r>
      <w:r w:rsidR="00BE53B0" w:rsidRPr="00917698">
        <w:t xml:space="preserve">confrontés à des difficultés financières </w:t>
      </w:r>
      <w:r w:rsidR="001407AC">
        <w:t>due à l’augmentation continue</w:t>
      </w:r>
      <w:r w:rsidR="00BE53B0">
        <w:t xml:space="preserve"> des frais d’accès à </w:t>
      </w:r>
      <w:r w:rsidR="00711440">
        <w:t>l</w:t>
      </w:r>
      <w:r w:rsidR="00BE53B0">
        <w:t>’IST (Chater, Ben Romdhane, 2013).</w:t>
      </w:r>
    </w:p>
    <w:p w:rsidR="001D590E" w:rsidRPr="001D590E" w:rsidRDefault="001D590E" w:rsidP="001D590E">
      <w:pPr>
        <w:pStyle w:val="Paragraphe"/>
        <w:rPr>
          <w:noProof/>
        </w:rPr>
      </w:pPr>
      <w:r w:rsidRPr="001D590E">
        <w:rPr>
          <w:noProof/>
        </w:rPr>
        <w:t>Nous constatons aussi que la population interrogée parmi les enseignants chercheurs en sciences de l’information et de la communication (83% connaissent et 17% ne connaissent pas) ainsi qu’en sciences biologiques et médicales (75% connaissent et 25% ne connaissent pas)</w:t>
      </w:r>
      <w:r>
        <w:rPr>
          <w:noProof/>
        </w:rPr>
        <w:t xml:space="preserve"> </w:t>
      </w:r>
      <w:r w:rsidRPr="001D590E">
        <w:rPr>
          <w:noProof/>
        </w:rPr>
        <w:t>ont des avis cohérents</w:t>
      </w:r>
      <w:r>
        <w:rPr>
          <w:noProof/>
        </w:rPr>
        <w:t xml:space="preserve"> </w:t>
      </w:r>
      <w:r w:rsidRPr="001D590E">
        <w:rPr>
          <w:noProof/>
        </w:rPr>
        <w:t>alors que ceux appartenant aux sciences informatiques (52% connaissent et 48% ne connaissent pas) et sciences économiques, commerce et gestion (55% connaissent et 45% ne connaissent pas)</w:t>
      </w:r>
      <w:r>
        <w:rPr>
          <w:noProof/>
        </w:rPr>
        <w:t xml:space="preserve"> ont des avis partagés.</w:t>
      </w:r>
      <w:r w:rsidRPr="001D590E">
        <w:rPr>
          <w:noProof/>
        </w:rPr>
        <w:t xml:space="preserve">     </w:t>
      </w:r>
    </w:p>
    <w:p w:rsidR="001D590E" w:rsidRDefault="001D590E" w:rsidP="00711440">
      <w:pPr>
        <w:pStyle w:val="Paragraphe"/>
      </w:pPr>
    </w:p>
    <w:p w:rsidR="001D590E" w:rsidRDefault="001D590E" w:rsidP="00711440">
      <w:pPr>
        <w:pStyle w:val="Paragraphe"/>
      </w:pPr>
    </w:p>
    <w:p w:rsidR="00BE53B0" w:rsidRDefault="00BE53B0" w:rsidP="000A011E">
      <w:pPr>
        <w:pStyle w:val="Paragraphe"/>
      </w:pPr>
      <w:r w:rsidRPr="00324984">
        <w:lastRenderedPageBreak/>
        <w:t>Nous</w:t>
      </w:r>
      <w:r>
        <w:t xml:space="preserve"> constatons à travers l’enquête que la voie dorée du libre accès est mieux connue chez les enseignants-chercheurs de l’UMA</w:t>
      </w:r>
      <w:r w:rsidR="001407AC">
        <w:t xml:space="preserve"> (80%) que la voie verte (53%)</w:t>
      </w:r>
      <w:r>
        <w:t xml:space="preserve">(Figure </w:t>
      </w:r>
      <w:r w:rsidR="000A011E">
        <w:t>2</w:t>
      </w:r>
      <w:r>
        <w:t>)</w:t>
      </w:r>
      <w:r w:rsidR="001407AC">
        <w:t>.</w:t>
      </w:r>
    </w:p>
    <w:p w:rsidR="001D590E" w:rsidRDefault="001D590E" w:rsidP="000A011E">
      <w:pPr>
        <w:pStyle w:val="Paragraphe"/>
      </w:pPr>
    </w:p>
    <w:p w:rsidR="00BE53B0" w:rsidRDefault="00711440" w:rsidP="00BE53B0">
      <w:pPr>
        <w:pStyle w:val="Paragraphe"/>
        <w:rPr>
          <w:color w:val="FF0000"/>
        </w:rPr>
      </w:pPr>
      <w:r>
        <w:rPr>
          <w:noProof/>
          <w:color w:val="0000FF"/>
        </w:rPr>
        <w:drawing>
          <wp:anchor distT="0" distB="0" distL="114300" distR="114300" simplePos="0" relativeHeight="251655680" behindDoc="0" locked="0" layoutInCell="1" allowOverlap="1">
            <wp:simplePos x="0" y="0"/>
            <wp:positionH relativeFrom="column">
              <wp:posOffset>187960</wp:posOffset>
            </wp:positionH>
            <wp:positionV relativeFrom="paragraph">
              <wp:posOffset>3810</wp:posOffset>
            </wp:positionV>
            <wp:extent cx="3987800" cy="1238250"/>
            <wp:effectExtent l="19050" t="0" r="0" b="0"/>
            <wp:wrapNone/>
            <wp:docPr id="15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6"/>
                    <a:srcRect/>
                    <a:stretch>
                      <a:fillRect/>
                    </a:stretch>
                  </pic:blipFill>
                  <pic:spPr bwMode="auto">
                    <a:xfrm>
                      <a:off x="0" y="0"/>
                      <a:ext cx="3987800" cy="1238250"/>
                    </a:xfrm>
                    <a:prstGeom prst="rect">
                      <a:avLst/>
                    </a:prstGeom>
                    <a:noFill/>
                    <a:ln w="9525">
                      <a:noFill/>
                      <a:miter lim="800000"/>
                      <a:headEnd/>
                      <a:tailEnd/>
                    </a:ln>
                  </pic:spPr>
                </pic:pic>
              </a:graphicData>
            </a:graphic>
          </wp:anchor>
        </w:drawing>
      </w:r>
      <w:r w:rsidR="00BE53B0">
        <w:rPr>
          <w:color w:val="0000FF"/>
        </w:rPr>
        <w:t xml:space="preserve"> </w:t>
      </w:r>
    </w:p>
    <w:p w:rsidR="00BE53B0" w:rsidRDefault="00BE53B0" w:rsidP="00BE53B0">
      <w:pPr>
        <w:pStyle w:val="Paragraphe"/>
        <w:rPr>
          <w:color w:val="FF0000"/>
        </w:rPr>
      </w:pPr>
    </w:p>
    <w:p w:rsidR="00BE53B0" w:rsidRDefault="00BE53B0" w:rsidP="00BE53B0">
      <w:pPr>
        <w:pStyle w:val="Paragraphe"/>
        <w:rPr>
          <w:color w:val="FF0000"/>
        </w:rPr>
      </w:pPr>
    </w:p>
    <w:p w:rsidR="00BE53B0" w:rsidRDefault="00BE53B0" w:rsidP="00BE53B0">
      <w:pPr>
        <w:pStyle w:val="Paragraphe"/>
        <w:rPr>
          <w:color w:val="FF0000"/>
        </w:rPr>
      </w:pPr>
    </w:p>
    <w:p w:rsidR="00BE53B0" w:rsidRDefault="00C543DB" w:rsidP="00BE53B0">
      <w:pPr>
        <w:pStyle w:val="Paragraphe"/>
        <w:rPr>
          <w:color w:val="FF0000"/>
        </w:rPr>
      </w:pPr>
      <w:r>
        <w:rPr>
          <w:noProof/>
          <w:color w:val="FF0000"/>
        </w:rPr>
        <w:pict>
          <v:shape id="_x0000_s1174" type="#_x0000_t202" style="position:absolute;left:0;text-align:left;margin-left:2.3pt;margin-top:28.3pt;width:330.5pt;height:20pt;z-index:251656704" stroked="f">
            <v:textbox style="mso-next-textbox:#_x0000_s1174" inset="0,0,0,0">
              <w:txbxContent>
                <w:p w:rsidR="00BE53B0" w:rsidRPr="00120A0F" w:rsidRDefault="00BE53B0" w:rsidP="006D06C4">
                  <w:pPr>
                    <w:pStyle w:val="Lgende"/>
                    <w:rPr>
                      <w:rFonts w:eastAsia="Times"/>
                      <w:noProof/>
                    </w:rPr>
                  </w:pPr>
                  <w:r w:rsidRPr="00324984">
                    <w:rPr>
                      <w:b/>
                      <w:bCs/>
                    </w:rPr>
                    <w:t xml:space="preserve">Figure </w:t>
                  </w:r>
                  <w:r w:rsidR="006D06C4">
                    <w:rPr>
                      <w:b/>
                      <w:bCs/>
                    </w:rPr>
                    <w:t>2</w:t>
                  </w:r>
                  <w:r>
                    <w:t xml:space="preserve"> : </w:t>
                  </w:r>
                  <w:r w:rsidR="00987586">
                    <w:t>Connaissance des archives ouvertes et des revues en libre accès par les enseignants-chercheurs</w:t>
                  </w:r>
                </w:p>
              </w:txbxContent>
            </v:textbox>
            <w10:wrap type="square"/>
          </v:shape>
        </w:pict>
      </w:r>
    </w:p>
    <w:p w:rsidR="00AA2C50" w:rsidRDefault="00980D41" w:rsidP="001407AC">
      <w:pPr>
        <w:pStyle w:val="Paragraphe"/>
      </w:pPr>
      <w:r>
        <w:t>Dans le même sens, l’archive</w:t>
      </w:r>
      <w:r w:rsidR="00BE53B0" w:rsidRPr="00230F42">
        <w:t xml:space="preserve"> ouverte Arxiv</w:t>
      </w:r>
      <w:r w:rsidR="00D579EA">
        <w:rPr>
          <w:rStyle w:val="Appelnotedebasdep"/>
        </w:rPr>
        <w:footnoteReference w:id="6"/>
      </w:r>
      <w:r w:rsidR="00BE53B0" w:rsidRPr="00230F42">
        <w:t xml:space="preserve">, qui est une archive de prépublications </w:t>
      </w:r>
      <w:r w:rsidR="00BE53B0" w:rsidRPr="00324984">
        <w:t>électroniques</w:t>
      </w:r>
      <w:r w:rsidR="00BE53B0" w:rsidRPr="00230F42">
        <w:t xml:space="preserve"> d'articles scientifiques dans les domaines de la physique, l'astrophysique, des mathématiques, de l'informatique, des sciences non linéaires et de la biologie quantitative, est méconnu</w:t>
      </w:r>
      <w:r>
        <w:t>e</w:t>
      </w:r>
      <w:r w:rsidR="00BE53B0" w:rsidRPr="00230F42">
        <w:t xml:space="preserve"> par la plupart des enseignants-chercheurs de l’UMA </w:t>
      </w:r>
      <w:r w:rsidR="001407AC">
        <w:t xml:space="preserve">comme le montre la </w:t>
      </w:r>
      <w:r w:rsidR="00BE53B0" w:rsidRPr="00230F42">
        <w:t>figure</w:t>
      </w:r>
      <w:r w:rsidR="000A011E">
        <w:t>3</w:t>
      </w:r>
      <w:r w:rsidR="00BE53B0" w:rsidRPr="00230F42">
        <w:t xml:space="preserve">. </w:t>
      </w:r>
    </w:p>
    <w:p w:rsidR="00BE53B0" w:rsidRPr="00230F42" w:rsidRDefault="00BE53B0" w:rsidP="00D579EA">
      <w:pPr>
        <w:pStyle w:val="Paragraphe"/>
      </w:pPr>
      <w:r w:rsidRPr="00230F42">
        <w:t xml:space="preserve">Pourtant cette archive comme le décrit Laurent Sacco dans son article paru à Futura-Sciences (Sacco, 2011) est le plus important dans le domaine des sciences exactes « L’archive contient maintenant pas loin de 700.000 articles qu’environ 75.000 autres rejoignent chaque année et ce flux n’est pas près de faiblir. Arxiv c’est aussi 1.000.000 d’articles téléchargés chaque semaine en moyenne par environ 400.000 utilisateurs sur la planète, dont tous ne sont pas des chercheurs professionnels.»  </w:t>
      </w:r>
    </w:p>
    <w:p w:rsidR="00BE53B0" w:rsidRDefault="00E65170" w:rsidP="00BE53B0">
      <w:pPr>
        <w:pStyle w:val="Paragraphe"/>
        <w:rPr>
          <w:color w:val="FF0000"/>
        </w:rPr>
      </w:pPr>
      <w:r>
        <w:rPr>
          <w:noProof/>
        </w:rPr>
        <w:drawing>
          <wp:anchor distT="0" distB="0" distL="114300" distR="114300" simplePos="0" relativeHeight="251659776" behindDoc="0" locked="0" layoutInCell="1" allowOverlap="1">
            <wp:simplePos x="0" y="0"/>
            <wp:positionH relativeFrom="margin">
              <wp:posOffset>575310</wp:posOffset>
            </wp:positionH>
            <wp:positionV relativeFrom="margin">
              <wp:posOffset>4779010</wp:posOffset>
            </wp:positionV>
            <wp:extent cx="3181350" cy="1752600"/>
            <wp:effectExtent l="19050" t="0" r="0" b="0"/>
            <wp:wrapSquare wrapText="bothSides"/>
            <wp:docPr id="15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7"/>
                    <a:srcRect/>
                    <a:stretch>
                      <a:fillRect/>
                    </a:stretch>
                  </pic:blipFill>
                  <pic:spPr bwMode="auto">
                    <a:xfrm>
                      <a:off x="0" y="0"/>
                      <a:ext cx="3181350" cy="1752600"/>
                    </a:xfrm>
                    <a:prstGeom prst="rect">
                      <a:avLst/>
                    </a:prstGeom>
                    <a:noFill/>
                    <a:ln w="9525">
                      <a:noFill/>
                      <a:miter lim="800000"/>
                      <a:headEnd/>
                      <a:tailEnd/>
                    </a:ln>
                  </pic:spPr>
                </pic:pic>
              </a:graphicData>
            </a:graphic>
          </wp:anchor>
        </w:drawing>
      </w:r>
    </w:p>
    <w:p w:rsidR="00BE53B0" w:rsidRPr="00C71871" w:rsidRDefault="00BE53B0" w:rsidP="00BE53B0">
      <w:pPr>
        <w:pStyle w:val="Paragraphe"/>
        <w:rPr>
          <w:color w:val="FF0000"/>
        </w:rPr>
      </w:pPr>
      <w:r w:rsidRPr="00C71871">
        <w:rPr>
          <w:color w:val="FF0000"/>
        </w:rPr>
        <w:t xml:space="preserve"> </w:t>
      </w:r>
    </w:p>
    <w:p w:rsidR="00BE53B0" w:rsidRDefault="00BE53B0" w:rsidP="00BE53B0">
      <w:pPr>
        <w:pStyle w:val="Paragraphe"/>
        <w:rPr>
          <w:color w:val="0000FF"/>
        </w:rPr>
      </w:pPr>
    </w:p>
    <w:p w:rsidR="00BE53B0" w:rsidRDefault="00BE53B0" w:rsidP="00BE53B0">
      <w:pPr>
        <w:pStyle w:val="Paragraphe"/>
        <w:rPr>
          <w:color w:val="0000FF"/>
        </w:rPr>
      </w:pPr>
    </w:p>
    <w:p w:rsidR="00BE53B0" w:rsidRDefault="00BE53B0" w:rsidP="00BE53B0">
      <w:pPr>
        <w:pStyle w:val="Paragraphe"/>
        <w:rPr>
          <w:color w:val="0000FF"/>
        </w:rPr>
      </w:pPr>
    </w:p>
    <w:p w:rsidR="00BE53B0" w:rsidRDefault="00BE53B0" w:rsidP="00BE53B0">
      <w:pPr>
        <w:pStyle w:val="Paragraphe"/>
        <w:rPr>
          <w:color w:val="0000FF"/>
        </w:rPr>
      </w:pPr>
    </w:p>
    <w:p w:rsidR="00BE53B0" w:rsidRDefault="00BE53B0" w:rsidP="00BE53B0">
      <w:pPr>
        <w:pStyle w:val="Paragraphe"/>
        <w:rPr>
          <w:color w:val="0000FF"/>
        </w:rPr>
      </w:pPr>
    </w:p>
    <w:p w:rsidR="00BE53B0" w:rsidRDefault="00C543DB" w:rsidP="00BE53B0">
      <w:pPr>
        <w:pStyle w:val="Paragraphe"/>
        <w:rPr>
          <w:color w:val="0000FF"/>
        </w:rPr>
      </w:pPr>
      <w:r w:rsidRPr="00C543DB">
        <w:rPr>
          <w:noProof/>
        </w:rPr>
        <w:pict>
          <v:shape id="_x0000_s1193" type="#_x0000_t202" style="position:absolute;left:0;text-align:left;margin-left:27.95pt;margin-top:16pt;width:311.65pt;height:33.65pt;z-index:251666944" stroked="f">
            <v:textbox style="mso-next-textbox:#_x0000_s1193" inset="0,0,0,0">
              <w:txbxContent>
                <w:p w:rsidR="000A011E" w:rsidRPr="00AC5B6E" w:rsidRDefault="000A011E" w:rsidP="000A011E">
                  <w:pPr>
                    <w:pStyle w:val="Lgende"/>
                    <w:rPr>
                      <w:rFonts w:eastAsia="Times"/>
                      <w:noProof/>
                      <w:color w:val="0000FF"/>
                    </w:rPr>
                  </w:pPr>
                  <w:r w:rsidRPr="000A011E">
                    <w:rPr>
                      <w:b/>
                      <w:bCs/>
                    </w:rPr>
                    <w:t>Figure 3</w:t>
                  </w:r>
                  <w:r>
                    <w:t xml:space="preserve"> : </w:t>
                  </w:r>
                  <w:r w:rsidRPr="00C928EA">
                    <w:t>connaissance de l’entrepôt ArXiv par les enseignants-chercheurs des différentes disciplines de l’UMA</w:t>
                  </w:r>
                </w:p>
              </w:txbxContent>
            </v:textbox>
            <w10:wrap type="square"/>
          </v:shape>
        </w:pict>
      </w:r>
    </w:p>
    <w:p w:rsidR="001407AC" w:rsidRDefault="001407AC" w:rsidP="000A011E">
      <w:pPr>
        <w:pStyle w:val="Paragraphe"/>
      </w:pPr>
    </w:p>
    <w:p w:rsidR="001407AC" w:rsidRDefault="001407AC" w:rsidP="001407AC">
      <w:pPr>
        <w:pStyle w:val="Paragraphe"/>
      </w:pPr>
    </w:p>
    <w:p w:rsidR="00BE53B0" w:rsidRDefault="00680789" w:rsidP="001407AC">
      <w:pPr>
        <w:pStyle w:val="Paragraphe"/>
      </w:pPr>
      <w:r w:rsidRPr="00F85637">
        <w:lastRenderedPageBreak/>
        <w:t xml:space="preserve">Plus </w:t>
      </w:r>
      <w:r w:rsidR="001407AC">
        <w:t>s</w:t>
      </w:r>
      <w:r w:rsidRPr="0075402C">
        <w:t>urprenant</w:t>
      </w:r>
      <w:r w:rsidRPr="00F85637">
        <w:t xml:space="preserve"> encore, les chercheurs de la discipline sciences informatiques</w:t>
      </w:r>
      <w:r>
        <w:t>,</w:t>
      </w:r>
      <w:r w:rsidRPr="00F85637">
        <w:t xml:space="preserve"> censés utiliser l’entrepôt ArXiv, puisque ce dernier couvre cette discipline, ne le connaissent pas </w:t>
      </w:r>
      <w:r w:rsidR="001407AC">
        <w:t>puisque</w:t>
      </w:r>
      <w:r w:rsidRPr="00F85637">
        <w:t xml:space="preserve"> seulement </w:t>
      </w:r>
      <w:r w:rsidR="001407AC">
        <w:t xml:space="preserve">2 personnes représentant </w:t>
      </w:r>
      <w:r w:rsidRPr="00F85637">
        <w:t>8%</w:t>
      </w:r>
      <w:r>
        <w:t xml:space="preserve"> </w:t>
      </w:r>
      <w:r w:rsidRPr="00F85637">
        <w:t xml:space="preserve">déclarent le connaître (Figure </w:t>
      </w:r>
      <w:r w:rsidR="000A011E">
        <w:t>3</w:t>
      </w:r>
      <w:r w:rsidRPr="00F85637">
        <w:t>)</w:t>
      </w:r>
      <w:r w:rsidR="00F85637">
        <w:t xml:space="preserve">. </w:t>
      </w:r>
      <w:r w:rsidR="00BE53B0" w:rsidRPr="00230F42">
        <w:t xml:space="preserve">Ce constat est affirmé </w:t>
      </w:r>
      <w:r w:rsidR="00BE53B0">
        <w:t xml:space="preserve">par </w:t>
      </w:r>
      <w:r w:rsidR="00BE53B0" w:rsidRPr="00230F42">
        <w:t>une étude plus ancienne sur le libre accès effectuée sur des chercheurs en Tunisie et en Algérie et concernant trois disciplines à savoir la physique, l’informatique et la santé (Boukacem et al, 2008). Les auteurs</w:t>
      </w:r>
      <w:r w:rsidR="00F85637">
        <w:t xml:space="preserve">, </w:t>
      </w:r>
      <w:r w:rsidR="00F85637" w:rsidRPr="00680789">
        <w:t>de cette étude</w:t>
      </w:r>
      <w:r w:rsidR="00F85637">
        <w:t xml:space="preserve">, </w:t>
      </w:r>
      <w:r w:rsidR="00BE53B0" w:rsidRPr="00230F42">
        <w:t>avancent que les informaticiens ignorent le mouvement du libre accès et le dépôt le plus célèbre ArXiv : « Très imprégnés d’une culture « open source », les informaticiens sont paradoxalement les plus ignorants du mouvement du libre accès. Cette ignorance comprends également celle de la base ArXiv sur laquelle ils ont déclarés n’être jamais allées, ni pour consulter et encore moins pour déposer un article ».</w:t>
      </w:r>
    </w:p>
    <w:p w:rsidR="00BE53B0" w:rsidRPr="00680789" w:rsidRDefault="00BE53B0" w:rsidP="004E160C">
      <w:pPr>
        <w:pStyle w:val="Paragraphe"/>
      </w:pPr>
      <w:r>
        <w:t>Les résultats de notre enquête montre</w:t>
      </w:r>
      <w:r w:rsidR="00F85637">
        <w:t>nt</w:t>
      </w:r>
      <w:r>
        <w:t xml:space="preserve"> aussi que parmi les 64% des enseignants-chercheurs qui connaissent le mouvement du libre accès, </w:t>
      </w:r>
      <w:r w:rsidRPr="00497499">
        <w:t xml:space="preserve">60.6% confirment qu’ils utilisent les archives ouvertes comme source d’information sur le web et que 47.5% parmi ces derniers n’ont jamais publié dans des archives ouvertes ou revue en libre accès. Ce qui signifie que cette tranche de la population comprend plutôt des utilisateurs </w:t>
      </w:r>
      <w:r w:rsidR="00F85637" w:rsidRPr="00680789">
        <w:t xml:space="preserve">« consommateurs » </w:t>
      </w:r>
      <w:r w:rsidRPr="00680789">
        <w:t xml:space="preserve">que des producteurs des </w:t>
      </w:r>
      <w:r w:rsidR="001407AC">
        <w:t>res</w:t>
      </w:r>
      <w:r w:rsidRPr="00680789">
        <w:t>sources en libre accès.</w:t>
      </w:r>
      <w:r w:rsidR="00F85637" w:rsidRPr="00680789">
        <w:t xml:space="preserve"> Ce constat a été déduit par Boukacem et al. (2008) qui ont déclarés que le chercheur maghrébin, surtout dans le domaine de la physique, a un profil nommé «  consommateur » par les auteurs puisque malgré une bonne connaissance du m</w:t>
      </w:r>
      <w:r w:rsidR="004E160C">
        <w:t>ouvement et un usage régulier d’</w:t>
      </w:r>
      <w:r w:rsidR="00F85637" w:rsidRPr="00680789">
        <w:t>ArXiv, ils ne sont pas participatifs et ne déposent pas leurs publications dans cet entrepôt (Boukacem et al. 2008).</w:t>
      </w:r>
    </w:p>
    <w:p w:rsidR="00BE53B0" w:rsidRDefault="00BE53B0" w:rsidP="004E160C">
      <w:pPr>
        <w:pStyle w:val="Paragraphe"/>
      </w:pPr>
      <w:r w:rsidRPr="007736E2">
        <w:t>Cependant</w:t>
      </w:r>
      <w:r w:rsidRPr="00497499">
        <w:t xml:space="preserve">, l’enquête a révélé que plusieurs aspects et fondements du mouvement du libre accès, sont encore méconnus auprès des enseignants chercheurs. </w:t>
      </w:r>
      <w:r>
        <w:t xml:space="preserve">En effet, </w:t>
      </w:r>
      <w:r w:rsidRPr="007736E2">
        <w:t>même</w:t>
      </w:r>
      <w:r>
        <w:t xml:space="preserve"> si l’enquête révèle que la majorité de la population interrogée connait le mouvement du libre accès, n</w:t>
      </w:r>
      <w:r w:rsidRPr="002F57B1">
        <w:t xml:space="preserve">ous avons essayé à travers </w:t>
      </w:r>
      <w:r>
        <w:t>quelques questions posées</w:t>
      </w:r>
      <w:r w:rsidRPr="002F57B1">
        <w:t xml:space="preserve"> de </w:t>
      </w:r>
      <w:r>
        <w:t xml:space="preserve">vérifier si les enseignants-chercheurs maitrisent les </w:t>
      </w:r>
      <w:r w:rsidRPr="002F57B1">
        <w:t xml:space="preserve">aspects </w:t>
      </w:r>
      <w:r>
        <w:t>fondamentaux de ce mouvement.</w:t>
      </w:r>
    </w:p>
    <w:p w:rsidR="00BE53B0" w:rsidRDefault="00680789" w:rsidP="004E160C">
      <w:pPr>
        <w:pStyle w:val="Paragraphe"/>
      </w:pPr>
      <w:r w:rsidRPr="004D5656">
        <w:t xml:space="preserve">Seulement 64% des répondants soit ils ne connaissent pas les initiatives en faveur du libre accès soit ils ont juste entendu parler, 85% ne connaissent </w:t>
      </w:r>
      <w:r w:rsidR="004E160C">
        <w:t>pas le protocole OAI-</w:t>
      </w:r>
      <w:r w:rsidRPr="004D5656">
        <w:t>PMH et 80% confirment qu’ils ne connaissent pas le</w:t>
      </w:r>
      <w:r w:rsidR="004E160C">
        <w:t xml:space="preserve">s licences </w:t>
      </w:r>
      <w:r w:rsidRPr="004D5656">
        <w:t xml:space="preserve">Creative Commons (voir figure </w:t>
      </w:r>
      <w:r w:rsidR="000A011E">
        <w:t>4</w:t>
      </w:r>
      <w:r w:rsidRPr="004D5656">
        <w:t>)</w:t>
      </w:r>
      <w:r>
        <w:t>.</w:t>
      </w:r>
    </w:p>
    <w:p w:rsidR="00BE53B0" w:rsidRDefault="00BE53B0" w:rsidP="00BE53B0">
      <w:pPr>
        <w:pStyle w:val="Paragraphe"/>
        <w:rPr>
          <w:color w:val="0000FF"/>
        </w:rPr>
      </w:pPr>
    </w:p>
    <w:p w:rsidR="00BE53B0" w:rsidRDefault="00BE53B0" w:rsidP="00BE53B0">
      <w:pPr>
        <w:pStyle w:val="Paragraphe"/>
        <w:rPr>
          <w:color w:val="0000FF"/>
        </w:rPr>
      </w:pPr>
    </w:p>
    <w:p w:rsidR="00BE53B0" w:rsidRDefault="00413F5B" w:rsidP="00BE53B0">
      <w:pPr>
        <w:pStyle w:val="Paragraphe"/>
        <w:rPr>
          <w:color w:val="0000FF"/>
        </w:rPr>
      </w:pPr>
      <w:r>
        <w:rPr>
          <w:noProof/>
          <w:color w:val="0000FF"/>
        </w:rPr>
        <w:lastRenderedPageBreak/>
        <w:drawing>
          <wp:anchor distT="0" distB="0" distL="114300" distR="114300" simplePos="0" relativeHeight="251657728" behindDoc="0" locked="0" layoutInCell="1" allowOverlap="1">
            <wp:simplePos x="0" y="0"/>
            <wp:positionH relativeFrom="column">
              <wp:posOffset>29210</wp:posOffset>
            </wp:positionH>
            <wp:positionV relativeFrom="paragraph">
              <wp:posOffset>-123190</wp:posOffset>
            </wp:positionV>
            <wp:extent cx="4320540" cy="1098550"/>
            <wp:effectExtent l="19050" t="0" r="3810" b="0"/>
            <wp:wrapNone/>
            <wp:docPr id="1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srcRect/>
                    <a:stretch>
                      <a:fillRect/>
                    </a:stretch>
                  </pic:blipFill>
                  <pic:spPr bwMode="auto">
                    <a:xfrm>
                      <a:off x="0" y="0"/>
                      <a:ext cx="4320540" cy="1098550"/>
                    </a:xfrm>
                    <a:prstGeom prst="rect">
                      <a:avLst/>
                    </a:prstGeom>
                    <a:noFill/>
                    <a:ln w="9525">
                      <a:noFill/>
                      <a:miter lim="800000"/>
                      <a:headEnd/>
                      <a:tailEnd/>
                    </a:ln>
                  </pic:spPr>
                </pic:pic>
              </a:graphicData>
            </a:graphic>
          </wp:anchor>
        </w:drawing>
      </w:r>
    </w:p>
    <w:p w:rsidR="00BE53B0" w:rsidRDefault="00BE53B0" w:rsidP="00BE53B0">
      <w:pPr>
        <w:pStyle w:val="Paragraphe"/>
        <w:rPr>
          <w:color w:val="0000FF"/>
        </w:rPr>
      </w:pPr>
    </w:p>
    <w:p w:rsidR="00BE53B0" w:rsidRDefault="00BE53B0" w:rsidP="00BE53B0">
      <w:pPr>
        <w:pStyle w:val="Paragraphe"/>
        <w:rPr>
          <w:color w:val="0000FF"/>
        </w:rPr>
      </w:pPr>
    </w:p>
    <w:p w:rsidR="00BE53B0" w:rsidRDefault="00BE53B0" w:rsidP="00BE53B0">
      <w:pPr>
        <w:pStyle w:val="Paragraphe"/>
        <w:rPr>
          <w:color w:val="0000FF"/>
        </w:rPr>
      </w:pPr>
    </w:p>
    <w:p w:rsidR="00BE53B0" w:rsidRDefault="00C543DB" w:rsidP="00BE53B0">
      <w:pPr>
        <w:pStyle w:val="Paragraphe"/>
        <w:rPr>
          <w:color w:val="0000FF"/>
        </w:rPr>
      </w:pPr>
      <w:r>
        <w:rPr>
          <w:noProof/>
          <w:color w:val="0000FF"/>
        </w:rPr>
        <w:pict>
          <v:shape id="_x0000_s1175" type="#_x0000_t202" style="position:absolute;left:0;text-align:left;margin-left:49.3pt;margin-top:12.8pt;width:260.5pt;height:17pt;z-index:251658752" stroked="f">
            <v:textbox style="mso-next-textbox:#_x0000_s1175;mso-fit-shape-to-text:t" inset="0,0,0,0">
              <w:txbxContent>
                <w:p w:rsidR="00BE53B0" w:rsidRPr="00120A0F" w:rsidRDefault="00BE53B0" w:rsidP="006D06C4">
                  <w:pPr>
                    <w:pStyle w:val="Lgende"/>
                    <w:rPr>
                      <w:rFonts w:eastAsia="Times"/>
                      <w:noProof/>
                    </w:rPr>
                  </w:pPr>
                  <w:r w:rsidRPr="008E1C03">
                    <w:rPr>
                      <w:b/>
                      <w:bCs/>
                    </w:rPr>
                    <w:t xml:space="preserve">Figure </w:t>
                  </w:r>
                  <w:r w:rsidR="006D06C4" w:rsidRPr="008E1C03">
                    <w:rPr>
                      <w:b/>
                      <w:bCs/>
                    </w:rPr>
                    <w:t>4</w:t>
                  </w:r>
                  <w:r>
                    <w:t xml:space="preserve"> : </w:t>
                  </w:r>
                  <w:r w:rsidR="007736E2">
                    <w:t>Connaissance des termes clés du libre accès</w:t>
                  </w:r>
                </w:p>
              </w:txbxContent>
            </v:textbox>
            <w10:wrap type="square"/>
          </v:shape>
        </w:pict>
      </w:r>
    </w:p>
    <w:p w:rsidR="00381D2B" w:rsidRDefault="00381D2B" w:rsidP="000A011E">
      <w:pPr>
        <w:pStyle w:val="Paragraphe"/>
      </w:pPr>
    </w:p>
    <w:p w:rsidR="00151822" w:rsidRPr="00151822" w:rsidRDefault="00BE53B0" w:rsidP="000A011E">
      <w:pPr>
        <w:pStyle w:val="Paragraphe"/>
        <w:rPr>
          <w:color w:val="FF0000"/>
        </w:rPr>
      </w:pPr>
      <w:r>
        <w:t xml:space="preserve">Ce qui </w:t>
      </w:r>
      <w:r w:rsidRPr="007736E2">
        <w:t>prouve</w:t>
      </w:r>
      <w:r>
        <w:t xml:space="preserve"> que les enseignants-chercheurs n’ont pas une connaissance approfondie à propos des protocoles d’échange et de partage des </w:t>
      </w:r>
      <w:r w:rsidR="004E160C">
        <w:t>res</w:t>
      </w:r>
      <w:r>
        <w:t>sources en libre accès ni les licences des droit d’auteurs qui d</w:t>
      </w:r>
      <w:r w:rsidRPr="00606566">
        <w:t>éfinissent l</w:t>
      </w:r>
      <w:r>
        <w:t>eurs</w:t>
      </w:r>
      <w:r w:rsidRPr="00606566">
        <w:t xml:space="preserve"> différents usages</w:t>
      </w:r>
      <w:r>
        <w:t>. Ceci se confirme par le pourcentage des répondants qui affirment que le risque de plagiat est un inconvénient majeur du libre accès (63%) ou par ceux qui pensent que le partage de leurs publications en libre accès leur fait perdre leurs droits d’auteur (50%) (Voir figure 1</w:t>
      </w:r>
      <w:r w:rsidR="000A011E">
        <w:t>0</w:t>
      </w:r>
      <w:r>
        <w:t>).</w:t>
      </w:r>
    </w:p>
    <w:p w:rsidR="00DB52E5" w:rsidRDefault="00680789" w:rsidP="00680789">
      <w:pPr>
        <w:pStyle w:val="Titre1"/>
      </w:pPr>
      <w:r>
        <w:t xml:space="preserve">Publication et dépôt en libre accès par l’enseignant chercheur de l’UMA </w:t>
      </w:r>
    </w:p>
    <w:p w:rsidR="00187E6C" w:rsidRDefault="00C543DB" w:rsidP="000A011E">
      <w:pPr>
        <w:pStyle w:val="Paragraphe"/>
      </w:pPr>
      <w:r>
        <w:rPr>
          <w:noProof/>
        </w:rPr>
        <w:pict>
          <v:shape id="_x0000_s1131" type="#_x0000_t202" style="position:absolute;left:0;text-align:left;margin-left:173.2pt;margin-top:117.85pt;width:169.5pt;height:39pt;z-index:251649536" wrapcoords="-96 0 -96 20661 21600 20661 21600 0 -96 0" stroked="f">
            <v:textbox style="mso-next-textbox:#_x0000_s1131;mso-fit-shape-to-text:t" inset="0,0,0,0">
              <w:txbxContent>
                <w:p w:rsidR="00922914" w:rsidRPr="00AA7F8B" w:rsidRDefault="00922914" w:rsidP="006D06C4">
                  <w:pPr>
                    <w:pStyle w:val="Lgende"/>
                    <w:rPr>
                      <w:rFonts w:eastAsia="Times"/>
                      <w:noProof/>
                    </w:rPr>
                  </w:pPr>
                  <w:r w:rsidRPr="00922914">
                    <w:rPr>
                      <w:b/>
                      <w:bCs/>
                    </w:rPr>
                    <w:t xml:space="preserve">Figure </w:t>
                  </w:r>
                  <w:r w:rsidR="006D06C4">
                    <w:rPr>
                      <w:b/>
                      <w:bCs/>
                    </w:rPr>
                    <w:t>5</w:t>
                  </w:r>
                  <w:r>
                    <w:t xml:space="preserve"> : </w:t>
                  </w:r>
                  <w:r w:rsidRPr="00922914">
                    <w:t>enseignants</w:t>
                  </w:r>
                  <w:r w:rsidR="004E160C">
                    <w:t xml:space="preserve"> </w:t>
                  </w:r>
                  <w:r>
                    <w:t>chercheurs ayant publiés dans des revues en libre accès ou déposés dans des AO</w:t>
                  </w:r>
                </w:p>
              </w:txbxContent>
            </v:textbox>
            <w10:wrap type="tight"/>
          </v:shape>
        </w:pict>
      </w:r>
      <w:r w:rsidR="00413F5B">
        <w:rPr>
          <w:noProof/>
        </w:rPr>
        <w:drawing>
          <wp:anchor distT="0" distB="0" distL="114300" distR="114300" simplePos="0" relativeHeight="251648512" behindDoc="1" locked="0" layoutInCell="1" allowOverlap="1">
            <wp:simplePos x="0" y="0"/>
            <wp:positionH relativeFrom="column">
              <wp:posOffset>2210104</wp:posOffset>
            </wp:positionH>
            <wp:positionV relativeFrom="paragraph">
              <wp:posOffset>104800</wp:posOffset>
            </wp:positionV>
            <wp:extent cx="2138698" cy="1302995"/>
            <wp:effectExtent l="10464" t="5105" r="3488" b="0"/>
            <wp:wrapTight wrapText="bothSides">
              <wp:wrapPolygon edited="0">
                <wp:start x="-96" y="0"/>
                <wp:lineTo x="-96" y="21443"/>
                <wp:lineTo x="21600" y="21443"/>
                <wp:lineTo x="21600" y="0"/>
                <wp:lineTo x="-96" y="0"/>
              </wp:wrapPolygon>
            </wp:wrapTight>
            <wp:docPr id="106" name="Graphiqu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770143">
        <w:t xml:space="preserve">La plupart des enseignants chercheurs de notre population </w:t>
      </w:r>
      <w:r w:rsidR="00680789" w:rsidRPr="00680789">
        <w:t>ne produi</w:t>
      </w:r>
      <w:r w:rsidR="00680789">
        <w:t>t</w:t>
      </w:r>
      <w:r w:rsidR="00680789" w:rsidRPr="00680789">
        <w:t xml:space="preserve"> pas en</w:t>
      </w:r>
      <w:r w:rsidR="00770143">
        <w:t xml:space="preserve"> libre accès puisque 60.2% d’entre eux n’ont jamais publié dans une revue en libre accès ou déposé leurs publications dans des archives ouvertes</w:t>
      </w:r>
      <w:r w:rsidR="00DA5811">
        <w:t xml:space="preserve"> comme le montre la figure </w:t>
      </w:r>
      <w:r w:rsidR="000A011E">
        <w:t>5</w:t>
      </w:r>
      <w:r w:rsidR="00770143">
        <w:t xml:space="preserve">. </w:t>
      </w:r>
    </w:p>
    <w:p w:rsidR="00A22CE7" w:rsidRDefault="00770143" w:rsidP="000A011E">
      <w:pPr>
        <w:pStyle w:val="Paragraphe"/>
      </w:pPr>
      <w:r>
        <w:t xml:space="preserve">Ceux qui </w:t>
      </w:r>
      <w:r w:rsidR="00680789">
        <w:t>ont publié en</w:t>
      </w:r>
      <w:r>
        <w:t xml:space="preserve"> libre accès (39,8%), déposent principalement des articles dans des revues avec comité de lecture </w:t>
      </w:r>
      <w:r w:rsidR="00762B8D">
        <w:t>48</w:t>
      </w:r>
      <w:r w:rsidR="00DA5811">
        <w:t>,</w:t>
      </w:r>
      <w:r w:rsidR="00762B8D">
        <w:t>9</w:t>
      </w:r>
      <w:r w:rsidR="00DA5811">
        <w:t>%</w:t>
      </w:r>
      <w:r w:rsidR="00A22CE7">
        <w:t xml:space="preserve"> et des communications dans des actes de colloques </w:t>
      </w:r>
      <w:r w:rsidR="00762B8D">
        <w:t>28</w:t>
      </w:r>
      <w:r w:rsidR="00DA5811">
        <w:t>,</w:t>
      </w:r>
      <w:r w:rsidR="00762B8D">
        <w:t>9</w:t>
      </w:r>
      <w:r w:rsidR="00DA5811">
        <w:t>%</w:t>
      </w:r>
      <w:r w:rsidR="00A22CE7">
        <w:t xml:space="preserve">. A l’opposé aucun répondant ne dépose de livre, deux seulement déposent des chapitres de livres, 4 déposent des articles dans des revues sans comité de lecture et 3 </w:t>
      </w:r>
      <w:r w:rsidR="00DA5811">
        <w:t>déposent</w:t>
      </w:r>
      <w:r w:rsidR="00A22CE7">
        <w:t xml:space="preserve"> des rapports de recherche</w:t>
      </w:r>
      <w:r w:rsidR="00762B8D">
        <w:t xml:space="preserve"> (Tableau 1)</w:t>
      </w:r>
      <w:r w:rsidR="00A22CE7">
        <w:t>.</w:t>
      </w:r>
    </w:p>
    <w:p w:rsidR="00381D2B" w:rsidRDefault="00381D2B" w:rsidP="00762B8D">
      <w:pPr>
        <w:pStyle w:val="Lgende"/>
        <w:keepNext/>
        <w:rPr>
          <w:b/>
          <w:bCs/>
        </w:rPr>
      </w:pPr>
    </w:p>
    <w:p w:rsidR="00762B8D" w:rsidRDefault="00762B8D" w:rsidP="00762B8D">
      <w:pPr>
        <w:pStyle w:val="Lgende"/>
        <w:keepNext/>
      </w:pPr>
      <w:r w:rsidRPr="007343E8">
        <w:rPr>
          <w:b/>
          <w:bCs/>
        </w:rPr>
        <w:t xml:space="preserve">Tableau </w:t>
      </w:r>
      <w:r w:rsidR="00C543DB" w:rsidRPr="007343E8">
        <w:rPr>
          <w:b/>
          <w:bCs/>
        </w:rPr>
        <w:fldChar w:fldCharType="begin"/>
      </w:r>
      <w:r w:rsidRPr="007343E8">
        <w:rPr>
          <w:b/>
          <w:bCs/>
        </w:rPr>
        <w:instrText xml:space="preserve"> SEQ Tableau \* ARABIC </w:instrText>
      </w:r>
      <w:r w:rsidR="00C543DB" w:rsidRPr="007343E8">
        <w:rPr>
          <w:b/>
          <w:bCs/>
        </w:rPr>
        <w:fldChar w:fldCharType="separate"/>
      </w:r>
      <w:r w:rsidRPr="007343E8">
        <w:rPr>
          <w:b/>
          <w:bCs/>
          <w:noProof/>
        </w:rPr>
        <w:t>1</w:t>
      </w:r>
      <w:r w:rsidR="00C543DB" w:rsidRPr="007343E8">
        <w:rPr>
          <w:b/>
          <w:bCs/>
        </w:rPr>
        <w:fldChar w:fldCharType="end"/>
      </w:r>
      <w:r>
        <w:t xml:space="preserve"> : Type des documents publiés ou déposés en libre accès</w:t>
      </w:r>
    </w:p>
    <w:tbl>
      <w:tblPr>
        <w:tblW w:w="5382" w:type="dxa"/>
        <w:jc w:val="center"/>
        <w:tblBorders>
          <w:insideH w:val="single" w:sz="18" w:space="0" w:color="FFFFFF"/>
          <w:insideV w:val="single" w:sz="18" w:space="0" w:color="FFFFFF"/>
        </w:tblBorders>
        <w:tblLayout w:type="fixed"/>
        <w:tblLook w:val="04A0"/>
      </w:tblPr>
      <w:tblGrid>
        <w:gridCol w:w="3840"/>
        <w:gridCol w:w="691"/>
        <w:gridCol w:w="851"/>
      </w:tblGrid>
      <w:tr w:rsidR="00762B8D" w:rsidRPr="001B0375" w:rsidTr="001B0375">
        <w:trPr>
          <w:trHeight w:val="255"/>
          <w:jc w:val="center"/>
        </w:trPr>
        <w:tc>
          <w:tcPr>
            <w:tcW w:w="3840" w:type="dxa"/>
            <w:shd w:val="pct20" w:color="000000" w:fill="FFFFFF"/>
            <w:noWrap/>
            <w:hideMark/>
          </w:tcPr>
          <w:p w:rsidR="00762B8D" w:rsidRPr="0094614D" w:rsidRDefault="00762B8D" w:rsidP="001B0375">
            <w:pPr>
              <w:spacing w:line="240" w:lineRule="auto"/>
              <w:jc w:val="center"/>
              <w:rPr>
                <w:rFonts w:ascii="Bodoni MT" w:eastAsia="Times New Roman" w:hAnsi="Bodoni MT" w:cs="Arial"/>
                <w:b/>
                <w:bCs/>
                <w:color w:val="000000"/>
                <w:sz w:val="18"/>
                <w:szCs w:val="18"/>
              </w:rPr>
            </w:pPr>
            <w:r w:rsidRPr="001B0375">
              <w:rPr>
                <w:rFonts w:ascii="Bodoni MT" w:eastAsia="Times New Roman" w:hAnsi="Bodoni MT" w:cs="Arial"/>
                <w:b/>
                <w:bCs/>
                <w:color w:val="000000"/>
                <w:sz w:val="18"/>
                <w:szCs w:val="18"/>
              </w:rPr>
              <w:t>Type de publication</w:t>
            </w:r>
          </w:p>
        </w:tc>
        <w:tc>
          <w:tcPr>
            <w:tcW w:w="691" w:type="dxa"/>
            <w:shd w:val="pct20" w:color="000000" w:fill="FFFFFF"/>
            <w:noWrap/>
            <w:hideMark/>
          </w:tcPr>
          <w:p w:rsidR="00762B8D" w:rsidRPr="0094614D" w:rsidRDefault="00762B8D" w:rsidP="001B0375">
            <w:pPr>
              <w:spacing w:line="240" w:lineRule="auto"/>
              <w:jc w:val="center"/>
              <w:rPr>
                <w:rFonts w:ascii="Bodoni MT" w:eastAsia="Times New Roman" w:hAnsi="Bodoni MT" w:cs="Arial"/>
                <w:b/>
                <w:bCs/>
                <w:color w:val="000000"/>
                <w:sz w:val="18"/>
                <w:szCs w:val="18"/>
              </w:rPr>
            </w:pPr>
            <w:r w:rsidRPr="001B0375">
              <w:rPr>
                <w:rFonts w:ascii="Bodoni MT" w:eastAsia="Times New Roman" w:hAnsi="Bodoni MT" w:cs="Arial"/>
                <w:b/>
                <w:bCs/>
                <w:color w:val="000000"/>
                <w:sz w:val="18"/>
                <w:szCs w:val="18"/>
              </w:rPr>
              <w:t>Nbre</w:t>
            </w:r>
          </w:p>
        </w:tc>
        <w:tc>
          <w:tcPr>
            <w:tcW w:w="851" w:type="dxa"/>
            <w:shd w:val="pct20" w:color="000000" w:fill="FFFFFF"/>
          </w:tcPr>
          <w:p w:rsidR="00762B8D" w:rsidRPr="001B0375" w:rsidRDefault="00762B8D" w:rsidP="001B0375">
            <w:pPr>
              <w:spacing w:line="240" w:lineRule="auto"/>
              <w:jc w:val="center"/>
              <w:rPr>
                <w:rFonts w:ascii="Bodoni MT" w:eastAsia="Times New Roman" w:hAnsi="Bodoni MT" w:cs="Arial"/>
                <w:b/>
                <w:bCs/>
                <w:color w:val="000000"/>
                <w:sz w:val="18"/>
                <w:szCs w:val="18"/>
              </w:rPr>
            </w:pPr>
            <w:r w:rsidRPr="001B0375">
              <w:rPr>
                <w:rFonts w:ascii="Bodoni MT" w:eastAsia="Times New Roman" w:hAnsi="Bodoni MT" w:cs="Arial"/>
                <w:b/>
                <w:bCs/>
                <w:color w:val="000000"/>
                <w:sz w:val="18"/>
                <w:szCs w:val="18"/>
              </w:rPr>
              <w:t>%</w:t>
            </w:r>
          </w:p>
        </w:tc>
      </w:tr>
      <w:tr w:rsidR="00762B8D" w:rsidRPr="001B0375" w:rsidTr="001B0375">
        <w:trPr>
          <w:trHeight w:val="255"/>
          <w:jc w:val="center"/>
        </w:trPr>
        <w:tc>
          <w:tcPr>
            <w:tcW w:w="3840" w:type="dxa"/>
            <w:shd w:val="pct5" w:color="000000" w:fill="FFFFFF"/>
            <w:noWrap/>
            <w:hideMark/>
          </w:tcPr>
          <w:p w:rsidR="00762B8D" w:rsidRPr="0094614D" w:rsidRDefault="00762B8D" w:rsidP="001B0375">
            <w:pPr>
              <w:spacing w:line="240" w:lineRule="auto"/>
              <w:jc w:val="left"/>
              <w:rPr>
                <w:rFonts w:ascii="Bodoni MT" w:eastAsia="Times New Roman" w:hAnsi="Bodoni MT" w:cs="Arial"/>
                <w:sz w:val="18"/>
                <w:szCs w:val="18"/>
              </w:rPr>
            </w:pPr>
            <w:r w:rsidRPr="0094614D">
              <w:rPr>
                <w:rFonts w:ascii="Bodoni MT" w:eastAsia="Times New Roman" w:hAnsi="Bodoni MT" w:cs="Arial"/>
                <w:sz w:val="18"/>
                <w:szCs w:val="18"/>
              </w:rPr>
              <w:t>Article dans une revue avec comité de lecture</w:t>
            </w:r>
          </w:p>
        </w:tc>
        <w:tc>
          <w:tcPr>
            <w:tcW w:w="691" w:type="dxa"/>
            <w:shd w:val="pct5" w:color="000000" w:fill="FFFFFF"/>
            <w:noWrap/>
            <w:hideMark/>
          </w:tcPr>
          <w:p w:rsidR="00762B8D" w:rsidRPr="0094614D" w:rsidRDefault="00762B8D" w:rsidP="001B0375">
            <w:pPr>
              <w:spacing w:line="240" w:lineRule="auto"/>
              <w:jc w:val="left"/>
              <w:rPr>
                <w:rFonts w:ascii="Bodoni MT" w:eastAsia="Times New Roman" w:hAnsi="Bodoni MT" w:cs="Arial"/>
                <w:sz w:val="18"/>
                <w:szCs w:val="18"/>
              </w:rPr>
            </w:pPr>
            <w:r w:rsidRPr="0094614D">
              <w:rPr>
                <w:rFonts w:ascii="Bodoni MT" w:eastAsia="Times New Roman" w:hAnsi="Bodoni MT" w:cs="Arial"/>
                <w:sz w:val="18"/>
                <w:szCs w:val="18"/>
              </w:rPr>
              <w:t>22</w:t>
            </w:r>
          </w:p>
        </w:tc>
        <w:tc>
          <w:tcPr>
            <w:tcW w:w="851" w:type="dxa"/>
            <w:shd w:val="pct5" w:color="000000" w:fill="FFFFFF"/>
          </w:tcPr>
          <w:p w:rsidR="00762B8D" w:rsidRPr="001B0375" w:rsidRDefault="00762B8D" w:rsidP="001B0375">
            <w:pPr>
              <w:jc w:val="left"/>
              <w:rPr>
                <w:rFonts w:ascii="Bodoni MT" w:hAnsi="Bodoni MT" w:cs="Arial"/>
                <w:sz w:val="18"/>
                <w:szCs w:val="18"/>
              </w:rPr>
            </w:pPr>
            <w:r w:rsidRPr="001B0375">
              <w:rPr>
                <w:rFonts w:ascii="Bodoni MT" w:hAnsi="Bodoni MT" w:cs="Arial"/>
                <w:sz w:val="18"/>
                <w:szCs w:val="18"/>
              </w:rPr>
              <w:t>48,9%</w:t>
            </w:r>
          </w:p>
        </w:tc>
      </w:tr>
      <w:tr w:rsidR="00762B8D" w:rsidRPr="001B0375" w:rsidTr="001B0375">
        <w:trPr>
          <w:trHeight w:val="255"/>
          <w:jc w:val="center"/>
        </w:trPr>
        <w:tc>
          <w:tcPr>
            <w:tcW w:w="3840" w:type="dxa"/>
            <w:shd w:val="pct20" w:color="000000" w:fill="FFFFFF"/>
            <w:noWrap/>
            <w:hideMark/>
          </w:tcPr>
          <w:p w:rsidR="00762B8D" w:rsidRPr="0094614D" w:rsidRDefault="00762B8D" w:rsidP="001B0375">
            <w:pPr>
              <w:spacing w:line="240" w:lineRule="auto"/>
              <w:jc w:val="left"/>
              <w:rPr>
                <w:rFonts w:ascii="Bodoni MT" w:eastAsia="Times New Roman" w:hAnsi="Bodoni MT" w:cs="Arial"/>
                <w:sz w:val="18"/>
                <w:szCs w:val="18"/>
              </w:rPr>
            </w:pPr>
            <w:r w:rsidRPr="0094614D">
              <w:rPr>
                <w:rFonts w:ascii="Bodoni MT" w:eastAsia="Times New Roman" w:hAnsi="Bodoni MT" w:cs="Arial"/>
                <w:sz w:val="18"/>
                <w:szCs w:val="18"/>
              </w:rPr>
              <w:t>Article dans une revue sans comité de lecture</w:t>
            </w:r>
          </w:p>
        </w:tc>
        <w:tc>
          <w:tcPr>
            <w:tcW w:w="691" w:type="dxa"/>
            <w:shd w:val="pct20" w:color="000000" w:fill="FFFFFF"/>
            <w:noWrap/>
            <w:hideMark/>
          </w:tcPr>
          <w:p w:rsidR="00762B8D" w:rsidRPr="0094614D" w:rsidRDefault="00762B8D" w:rsidP="001B0375">
            <w:pPr>
              <w:spacing w:line="240" w:lineRule="auto"/>
              <w:jc w:val="left"/>
              <w:rPr>
                <w:rFonts w:ascii="Bodoni MT" w:eastAsia="Times New Roman" w:hAnsi="Bodoni MT" w:cs="Arial"/>
                <w:sz w:val="18"/>
                <w:szCs w:val="18"/>
              </w:rPr>
            </w:pPr>
            <w:r w:rsidRPr="0094614D">
              <w:rPr>
                <w:rFonts w:ascii="Bodoni MT" w:eastAsia="Times New Roman" w:hAnsi="Bodoni MT" w:cs="Arial"/>
                <w:sz w:val="18"/>
                <w:szCs w:val="18"/>
              </w:rPr>
              <w:t>4</w:t>
            </w:r>
          </w:p>
        </w:tc>
        <w:tc>
          <w:tcPr>
            <w:tcW w:w="851" w:type="dxa"/>
            <w:shd w:val="pct20" w:color="000000" w:fill="FFFFFF"/>
          </w:tcPr>
          <w:p w:rsidR="00762B8D" w:rsidRPr="001B0375" w:rsidRDefault="00762B8D" w:rsidP="001B0375">
            <w:pPr>
              <w:jc w:val="left"/>
              <w:rPr>
                <w:rFonts w:ascii="Bodoni MT" w:hAnsi="Bodoni MT" w:cs="Arial"/>
                <w:sz w:val="18"/>
                <w:szCs w:val="18"/>
              </w:rPr>
            </w:pPr>
            <w:r w:rsidRPr="001B0375">
              <w:rPr>
                <w:rFonts w:ascii="Bodoni MT" w:hAnsi="Bodoni MT" w:cs="Arial"/>
                <w:sz w:val="18"/>
                <w:szCs w:val="18"/>
              </w:rPr>
              <w:t>8,9%</w:t>
            </w:r>
          </w:p>
        </w:tc>
      </w:tr>
      <w:tr w:rsidR="00762B8D" w:rsidRPr="001B0375" w:rsidTr="001B0375">
        <w:trPr>
          <w:trHeight w:val="255"/>
          <w:jc w:val="center"/>
        </w:trPr>
        <w:tc>
          <w:tcPr>
            <w:tcW w:w="3840" w:type="dxa"/>
            <w:shd w:val="pct5" w:color="000000" w:fill="FFFFFF"/>
            <w:noWrap/>
            <w:hideMark/>
          </w:tcPr>
          <w:p w:rsidR="00762B8D" w:rsidRPr="0094614D" w:rsidRDefault="00762B8D" w:rsidP="001B0375">
            <w:pPr>
              <w:spacing w:line="240" w:lineRule="auto"/>
              <w:jc w:val="left"/>
              <w:rPr>
                <w:rFonts w:ascii="Bodoni MT" w:eastAsia="Times New Roman" w:hAnsi="Bodoni MT" w:cs="Arial"/>
                <w:sz w:val="18"/>
                <w:szCs w:val="18"/>
              </w:rPr>
            </w:pPr>
            <w:r w:rsidRPr="001B0375">
              <w:rPr>
                <w:rFonts w:ascii="Bodoni MT" w:eastAsia="Times New Roman" w:hAnsi="Bodoni MT" w:cs="Arial"/>
                <w:sz w:val="18"/>
                <w:szCs w:val="18"/>
              </w:rPr>
              <w:t>Communication</w:t>
            </w:r>
            <w:r w:rsidRPr="0094614D">
              <w:rPr>
                <w:rFonts w:ascii="Bodoni MT" w:eastAsia="Times New Roman" w:hAnsi="Bodoni MT" w:cs="Arial"/>
                <w:sz w:val="18"/>
                <w:szCs w:val="18"/>
              </w:rPr>
              <w:t xml:space="preserve"> dans des actes de colloques</w:t>
            </w:r>
          </w:p>
        </w:tc>
        <w:tc>
          <w:tcPr>
            <w:tcW w:w="691" w:type="dxa"/>
            <w:shd w:val="pct5" w:color="000000" w:fill="FFFFFF"/>
            <w:noWrap/>
            <w:hideMark/>
          </w:tcPr>
          <w:p w:rsidR="00762B8D" w:rsidRPr="0094614D" w:rsidRDefault="00762B8D" w:rsidP="001B0375">
            <w:pPr>
              <w:spacing w:line="240" w:lineRule="auto"/>
              <w:jc w:val="left"/>
              <w:rPr>
                <w:rFonts w:ascii="Bodoni MT" w:eastAsia="Times New Roman" w:hAnsi="Bodoni MT" w:cs="Arial"/>
                <w:sz w:val="18"/>
                <w:szCs w:val="18"/>
              </w:rPr>
            </w:pPr>
            <w:r w:rsidRPr="0094614D">
              <w:rPr>
                <w:rFonts w:ascii="Bodoni MT" w:eastAsia="Times New Roman" w:hAnsi="Bodoni MT" w:cs="Arial"/>
                <w:sz w:val="18"/>
                <w:szCs w:val="18"/>
              </w:rPr>
              <w:t>13</w:t>
            </w:r>
          </w:p>
        </w:tc>
        <w:tc>
          <w:tcPr>
            <w:tcW w:w="851" w:type="dxa"/>
            <w:shd w:val="pct5" w:color="000000" w:fill="FFFFFF"/>
          </w:tcPr>
          <w:p w:rsidR="00762B8D" w:rsidRPr="001B0375" w:rsidRDefault="00762B8D" w:rsidP="001B0375">
            <w:pPr>
              <w:jc w:val="left"/>
              <w:rPr>
                <w:rFonts w:ascii="Bodoni MT" w:hAnsi="Bodoni MT" w:cs="Arial"/>
                <w:sz w:val="18"/>
                <w:szCs w:val="18"/>
              </w:rPr>
            </w:pPr>
            <w:r w:rsidRPr="001B0375">
              <w:rPr>
                <w:rFonts w:ascii="Bodoni MT" w:hAnsi="Bodoni MT" w:cs="Arial"/>
                <w:sz w:val="18"/>
                <w:szCs w:val="18"/>
              </w:rPr>
              <w:t>28,9%</w:t>
            </w:r>
          </w:p>
        </w:tc>
      </w:tr>
      <w:tr w:rsidR="00762B8D" w:rsidRPr="001B0375" w:rsidTr="001B0375">
        <w:trPr>
          <w:trHeight w:val="255"/>
          <w:jc w:val="center"/>
        </w:trPr>
        <w:tc>
          <w:tcPr>
            <w:tcW w:w="3840" w:type="dxa"/>
            <w:shd w:val="pct5" w:color="000000" w:fill="FFFFFF"/>
            <w:noWrap/>
            <w:hideMark/>
          </w:tcPr>
          <w:p w:rsidR="00762B8D" w:rsidRPr="001B0375" w:rsidRDefault="00762B8D" w:rsidP="001B0375">
            <w:pPr>
              <w:spacing w:line="240" w:lineRule="auto"/>
              <w:jc w:val="left"/>
              <w:rPr>
                <w:rFonts w:ascii="Bodoni MT" w:eastAsia="Times New Roman" w:hAnsi="Bodoni MT" w:cs="Arial"/>
                <w:sz w:val="18"/>
                <w:szCs w:val="18"/>
              </w:rPr>
            </w:pPr>
            <w:r w:rsidRPr="001B0375">
              <w:rPr>
                <w:rFonts w:ascii="Bodoni MT" w:eastAsia="Times New Roman" w:hAnsi="Bodoni MT" w:cs="Arial"/>
                <w:sz w:val="18"/>
                <w:szCs w:val="18"/>
              </w:rPr>
              <w:lastRenderedPageBreak/>
              <w:t>Livre</w:t>
            </w:r>
          </w:p>
        </w:tc>
        <w:tc>
          <w:tcPr>
            <w:tcW w:w="691" w:type="dxa"/>
            <w:shd w:val="pct5" w:color="000000" w:fill="FFFFFF"/>
            <w:noWrap/>
            <w:hideMark/>
          </w:tcPr>
          <w:p w:rsidR="00762B8D" w:rsidRPr="001B0375" w:rsidRDefault="00762B8D" w:rsidP="001B0375">
            <w:pPr>
              <w:spacing w:line="240" w:lineRule="auto"/>
              <w:jc w:val="left"/>
              <w:rPr>
                <w:rFonts w:ascii="Bodoni MT" w:eastAsia="Times New Roman" w:hAnsi="Bodoni MT" w:cs="Arial"/>
                <w:sz w:val="18"/>
                <w:szCs w:val="18"/>
              </w:rPr>
            </w:pPr>
            <w:r w:rsidRPr="001B0375">
              <w:rPr>
                <w:rFonts w:ascii="Bodoni MT" w:eastAsia="Times New Roman" w:hAnsi="Bodoni MT" w:cs="Arial"/>
                <w:sz w:val="18"/>
                <w:szCs w:val="18"/>
              </w:rPr>
              <w:t>0</w:t>
            </w:r>
          </w:p>
        </w:tc>
        <w:tc>
          <w:tcPr>
            <w:tcW w:w="851" w:type="dxa"/>
            <w:shd w:val="pct5" w:color="000000" w:fill="FFFFFF"/>
          </w:tcPr>
          <w:p w:rsidR="00762B8D" w:rsidRPr="001B0375" w:rsidRDefault="00762B8D" w:rsidP="001B0375">
            <w:pPr>
              <w:jc w:val="left"/>
              <w:rPr>
                <w:rFonts w:ascii="Bodoni MT" w:hAnsi="Bodoni MT" w:cs="Arial"/>
                <w:sz w:val="18"/>
                <w:szCs w:val="18"/>
              </w:rPr>
            </w:pPr>
            <w:r w:rsidRPr="001B0375">
              <w:rPr>
                <w:rFonts w:ascii="Bodoni MT" w:hAnsi="Bodoni MT" w:cs="Arial"/>
                <w:sz w:val="18"/>
                <w:szCs w:val="18"/>
              </w:rPr>
              <w:t>0%</w:t>
            </w:r>
          </w:p>
        </w:tc>
      </w:tr>
      <w:tr w:rsidR="00762B8D" w:rsidRPr="001B0375" w:rsidTr="001B0375">
        <w:trPr>
          <w:trHeight w:val="255"/>
          <w:jc w:val="center"/>
        </w:trPr>
        <w:tc>
          <w:tcPr>
            <w:tcW w:w="3840" w:type="dxa"/>
            <w:shd w:val="pct20" w:color="000000" w:fill="FFFFFF"/>
            <w:noWrap/>
            <w:hideMark/>
          </w:tcPr>
          <w:p w:rsidR="00762B8D" w:rsidRPr="0094614D" w:rsidRDefault="00762B8D" w:rsidP="001B0375">
            <w:pPr>
              <w:spacing w:line="240" w:lineRule="auto"/>
              <w:jc w:val="left"/>
              <w:rPr>
                <w:rFonts w:ascii="Bodoni MT" w:eastAsia="Times New Roman" w:hAnsi="Bodoni MT" w:cs="Arial"/>
                <w:sz w:val="18"/>
                <w:szCs w:val="18"/>
              </w:rPr>
            </w:pPr>
            <w:r w:rsidRPr="0094614D">
              <w:rPr>
                <w:rFonts w:ascii="Bodoni MT" w:eastAsia="Times New Roman" w:hAnsi="Bodoni MT" w:cs="Arial"/>
                <w:sz w:val="18"/>
                <w:szCs w:val="18"/>
              </w:rPr>
              <w:t>Chapitre de livre</w:t>
            </w:r>
          </w:p>
        </w:tc>
        <w:tc>
          <w:tcPr>
            <w:tcW w:w="691" w:type="dxa"/>
            <w:shd w:val="pct20" w:color="000000" w:fill="FFFFFF"/>
            <w:noWrap/>
            <w:hideMark/>
          </w:tcPr>
          <w:p w:rsidR="00762B8D" w:rsidRPr="0094614D" w:rsidRDefault="00762B8D" w:rsidP="001B0375">
            <w:pPr>
              <w:spacing w:line="240" w:lineRule="auto"/>
              <w:jc w:val="left"/>
              <w:rPr>
                <w:rFonts w:ascii="Bodoni MT" w:eastAsia="Times New Roman" w:hAnsi="Bodoni MT" w:cs="Arial"/>
                <w:sz w:val="18"/>
                <w:szCs w:val="18"/>
              </w:rPr>
            </w:pPr>
            <w:r w:rsidRPr="0094614D">
              <w:rPr>
                <w:rFonts w:ascii="Bodoni MT" w:eastAsia="Times New Roman" w:hAnsi="Bodoni MT" w:cs="Arial"/>
                <w:sz w:val="18"/>
                <w:szCs w:val="18"/>
              </w:rPr>
              <w:t>2</w:t>
            </w:r>
          </w:p>
        </w:tc>
        <w:tc>
          <w:tcPr>
            <w:tcW w:w="851" w:type="dxa"/>
            <w:shd w:val="pct20" w:color="000000" w:fill="FFFFFF"/>
          </w:tcPr>
          <w:p w:rsidR="00762B8D" w:rsidRPr="001B0375" w:rsidRDefault="00762B8D" w:rsidP="001B0375">
            <w:pPr>
              <w:jc w:val="left"/>
              <w:rPr>
                <w:rFonts w:ascii="Bodoni MT" w:hAnsi="Bodoni MT" w:cs="Arial"/>
                <w:sz w:val="18"/>
                <w:szCs w:val="18"/>
              </w:rPr>
            </w:pPr>
            <w:r w:rsidRPr="001B0375">
              <w:rPr>
                <w:rFonts w:ascii="Bodoni MT" w:hAnsi="Bodoni MT" w:cs="Arial"/>
                <w:sz w:val="18"/>
                <w:szCs w:val="18"/>
              </w:rPr>
              <w:t>4,4%</w:t>
            </w:r>
          </w:p>
        </w:tc>
      </w:tr>
      <w:tr w:rsidR="00762B8D" w:rsidRPr="001B0375" w:rsidTr="001B0375">
        <w:trPr>
          <w:trHeight w:val="255"/>
          <w:jc w:val="center"/>
        </w:trPr>
        <w:tc>
          <w:tcPr>
            <w:tcW w:w="3840" w:type="dxa"/>
            <w:shd w:val="pct5" w:color="000000" w:fill="FFFFFF"/>
            <w:noWrap/>
            <w:hideMark/>
          </w:tcPr>
          <w:p w:rsidR="00762B8D" w:rsidRPr="0094614D" w:rsidRDefault="00762B8D" w:rsidP="001B0375">
            <w:pPr>
              <w:spacing w:line="240" w:lineRule="auto"/>
              <w:jc w:val="left"/>
              <w:rPr>
                <w:rFonts w:ascii="Bodoni MT" w:eastAsia="Times New Roman" w:hAnsi="Bodoni MT" w:cs="Arial"/>
                <w:sz w:val="18"/>
                <w:szCs w:val="18"/>
              </w:rPr>
            </w:pPr>
            <w:r w:rsidRPr="0094614D">
              <w:rPr>
                <w:rFonts w:ascii="Bodoni MT" w:eastAsia="Times New Roman" w:hAnsi="Bodoni MT" w:cs="Arial"/>
                <w:sz w:val="18"/>
                <w:szCs w:val="18"/>
              </w:rPr>
              <w:t>Rapport de recherche</w:t>
            </w:r>
          </w:p>
        </w:tc>
        <w:tc>
          <w:tcPr>
            <w:tcW w:w="691" w:type="dxa"/>
            <w:shd w:val="pct5" w:color="000000" w:fill="FFFFFF"/>
            <w:noWrap/>
            <w:hideMark/>
          </w:tcPr>
          <w:p w:rsidR="00762B8D" w:rsidRPr="0094614D" w:rsidRDefault="00762B8D" w:rsidP="001B0375">
            <w:pPr>
              <w:spacing w:line="240" w:lineRule="auto"/>
              <w:jc w:val="left"/>
              <w:rPr>
                <w:rFonts w:ascii="Bodoni MT" w:eastAsia="Times New Roman" w:hAnsi="Bodoni MT" w:cs="Arial"/>
                <w:sz w:val="18"/>
                <w:szCs w:val="18"/>
              </w:rPr>
            </w:pPr>
            <w:r w:rsidRPr="0094614D">
              <w:rPr>
                <w:rFonts w:ascii="Bodoni MT" w:eastAsia="Times New Roman" w:hAnsi="Bodoni MT" w:cs="Arial"/>
                <w:sz w:val="18"/>
                <w:szCs w:val="18"/>
              </w:rPr>
              <w:t>3</w:t>
            </w:r>
          </w:p>
        </w:tc>
        <w:tc>
          <w:tcPr>
            <w:tcW w:w="851" w:type="dxa"/>
            <w:shd w:val="pct5" w:color="000000" w:fill="FFFFFF"/>
          </w:tcPr>
          <w:p w:rsidR="00762B8D" w:rsidRPr="001B0375" w:rsidRDefault="00762B8D" w:rsidP="001B0375">
            <w:pPr>
              <w:jc w:val="left"/>
              <w:rPr>
                <w:rFonts w:ascii="Bodoni MT" w:hAnsi="Bodoni MT" w:cs="Arial"/>
                <w:sz w:val="18"/>
                <w:szCs w:val="18"/>
              </w:rPr>
            </w:pPr>
            <w:r w:rsidRPr="001B0375">
              <w:rPr>
                <w:rFonts w:ascii="Bodoni MT" w:hAnsi="Bodoni MT" w:cs="Arial"/>
                <w:sz w:val="18"/>
                <w:szCs w:val="18"/>
              </w:rPr>
              <w:t>6,7%</w:t>
            </w:r>
          </w:p>
        </w:tc>
      </w:tr>
      <w:tr w:rsidR="00980D41" w:rsidRPr="001B0375" w:rsidTr="00C35830">
        <w:trPr>
          <w:trHeight w:val="255"/>
          <w:jc w:val="center"/>
        </w:trPr>
        <w:tc>
          <w:tcPr>
            <w:tcW w:w="3840" w:type="dxa"/>
            <w:shd w:val="pct20" w:color="000000" w:fill="FFFFFF"/>
            <w:noWrap/>
            <w:hideMark/>
          </w:tcPr>
          <w:p w:rsidR="00980D41" w:rsidRPr="0094614D" w:rsidRDefault="00980D41" w:rsidP="00C35830">
            <w:pPr>
              <w:spacing w:line="240" w:lineRule="auto"/>
              <w:jc w:val="left"/>
              <w:rPr>
                <w:rFonts w:ascii="Bodoni MT" w:eastAsia="Times New Roman" w:hAnsi="Bodoni MT" w:cs="Arial"/>
                <w:sz w:val="18"/>
                <w:szCs w:val="18"/>
              </w:rPr>
            </w:pPr>
            <w:r w:rsidRPr="0094614D">
              <w:rPr>
                <w:rFonts w:ascii="Bodoni MT" w:eastAsia="Times New Roman" w:hAnsi="Bodoni MT" w:cs="Arial"/>
                <w:sz w:val="18"/>
                <w:szCs w:val="18"/>
              </w:rPr>
              <w:t>Autre</w:t>
            </w:r>
          </w:p>
        </w:tc>
        <w:tc>
          <w:tcPr>
            <w:tcW w:w="691" w:type="dxa"/>
            <w:shd w:val="pct20" w:color="000000" w:fill="FFFFFF"/>
            <w:noWrap/>
            <w:hideMark/>
          </w:tcPr>
          <w:p w:rsidR="00980D41" w:rsidRPr="0094614D" w:rsidRDefault="00980D41" w:rsidP="00C35830">
            <w:pPr>
              <w:spacing w:line="240" w:lineRule="auto"/>
              <w:jc w:val="left"/>
              <w:rPr>
                <w:rFonts w:ascii="Bodoni MT" w:eastAsia="Times New Roman" w:hAnsi="Bodoni MT" w:cs="Arial"/>
                <w:sz w:val="18"/>
                <w:szCs w:val="18"/>
              </w:rPr>
            </w:pPr>
            <w:r w:rsidRPr="0094614D">
              <w:rPr>
                <w:rFonts w:ascii="Bodoni MT" w:eastAsia="Times New Roman" w:hAnsi="Bodoni MT" w:cs="Arial"/>
                <w:sz w:val="18"/>
                <w:szCs w:val="18"/>
              </w:rPr>
              <w:t>1</w:t>
            </w:r>
          </w:p>
        </w:tc>
        <w:tc>
          <w:tcPr>
            <w:tcW w:w="851" w:type="dxa"/>
            <w:shd w:val="pct20" w:color="000000" w:fill="FFFFFF"/>
          </w:tcPr>
          <w:p w:rsidR="00980D41" w:rsidRPr="001B0375" w:rsidRDefault="00980D41" w:rsidP="00C35830">
            <w:pPr>
              <w:jc w:val="left"/>
              <w:rPr>
                <w:rFonts w:ascii="Bodoni MT" w:hAnsi="Bodoni MT" w:cs="Arial"/>
                <w:sz w:val="18"/>
                <w:szCs w:val="18"/>
              </w:rPr>
            </w:pPr>
            <w:r w:rsidRPr="001B0375">
              <w:rPr>
                <w:rFonts w:ascii="Bodoni MT" w:hAnsi="Bodoni MT" w:cs="Arial"/>
                <w:sz w:val="18"/>
                <w:szCs w:val="18"/>
              </w:rPr>
              <w:t>2,2%</w:t>
            </w:r>
          </w:p>
        </w:tc>
      </w:tr>
      <w:tr w:rsidR="00762B8D" w:rsidRPr="001B0375" w:rsidTr="001B0375">
        <w:trPr>
          <w:trHeight w:val="255"/>
          <w:jc w:val="center"/>
        </w:trPr>
        <w:tc>
          <w:tcPr>
            <w:tcW w:w="3840" w:type="dxa"/>
            <w:shd w:val="pct20" w:color="000000" w:fill="FFFFFF"/>
            <w:noWrap/>
            <w:hideMark/>
          </w:tcPr>
          <w:p w:rsidR="00762B8D" w:rsidRPr="0094614D" w:rsidRDefault="00762B8D" w:rsidP="001B0375">
            <w:pPr>
              <w:spacing w:line="240" w:lineRule="auto"/>
              <w:jc w:val="left"/>
              <w:rPr>
                <w:rFonts w:ascii="Bodoni MT" w:eastAsia="Times New Roman" w:hAnsi="Bodoni MT" w:cs="Arial"/>
                <w:b/>
                <w:bCs/>
                <w:color w:val="000000"/>
                <w:sz w:val="18"/>
                <w:szCs w:val="18"/>
              </w:rPr>
            </w:pPr>
            <w:r w:rsidRPr="0094614D">
              <w:rPr>
                <w:rFonts w:ascii="Bodoni MT" w:eastAsia="Times New Roman" w:hAnsi="Bodoni MT" w:cs="Arial"/>
                <w:b/>
                <w:bCs/>
                <w:color w:val="000000"/>
                <w:sz w:val="18"/>
                <w:szCs w:val="18"/>
              </w:rPr>
              <w:t>Total général</w:t>
            </w:r>
          </w:p>
        </w:tc>
        <w:tc>
          <w:tcPr>
            <w:tcW w:w="691" w:type="dxa"/>
            <w:shd w:val="pct20" w:color="000000" w:fill="FFFFFF"/>
            <w:noWrap/>
            <w:hideMark/>
          </w:tcPr>
          <w:p w:rsidR="00762B8D" w:rsidRPr="0094614D" w:rsidRDefault="00762B8D" w:rsidP="001B0375">
            <w:pPr>
              <w:spacing w:line="240" w:lineRule="auto"/>
              <w:jc w:val="left"/>
              <w:rPr>
                <w:rFonts w:ascii="Bodoni MT" w:eastAsia="Times New Roman" w:hAnsi="Bodoni MT" w:cs="Arial"/>
                <w:b/>
                <w:bCs/>
                <w:color w:val="000000"/>
                <w:sz w:val="18"/>
                <w:szCs w:val="18"/>
              </w:rPr>
            </w:pPr>
            <w:r w:rsidRPr="0094614D">
              <w:rPr>
                <w:rFonts w:ascii="Bodoni MT" w:eastAsia="Times New Roman" w:hAnsi="Bodoni MT" w:cs="Arial"/>
                <w:b/>
                <w:bCs/>
                <w:color w:val="000000"/>
                <w:sz w:val="18"/>
                <w:szCs w:val="18"/>
              </w:rPr>
              <w:t>45</w:t>
            </w:r>
          </w:p>
        </w:tc>
        <w:tc>
          <w:tcPr>
            <w:tcW w:w="851" w:type="dxa"/>
            <w:shd w:val="pct20" w:color="000000" w:fill="FFFFFF"/>
          </w:tcPr>
          <w:p w:rsidR="00762B8D" w:rsidRPr="001B0375" w:rsidRDefault="00762B8D" w:rsidP="001B0375">
            <w:pPr>
              <w:jc w:val="left"/>
              <w:rPr>
                <w:rFonts w:ascii="Bodoni MT" w:hAnsi="Bodoni MT" w:cs="Arial"/>
                <w:b/>
                <w:bCs/>
                <w:color w:val="000000"/>
                <w:sz w:val="18"/>
                <w:szCs w:val="18"/>
              </w:rPr>
            </w:pPr>
            <w:r w:rsidRPr="001B0375">
              <w:rPr>
                <w:rFonts w:ascii="Bodoni MT" w:hAnsi="Bodoni MT" w:cs="Arial"/>
                <w:b/>
                <w:bCs/>
                <w:color w:val="000000"/>
                <w:sz w:val="18"/>
                <w:szCs w:val="18"/>
              </w:rPr>
              <w:t>100,0%</w:t>
            </w:r>
          </w:p>
        </w:tc>
      </w:tr>
    </w:tbl>
    <w:p w:rsidR="00846F28" w:rsidRDefault="00846F28" w:rsidP="00613912">
      <w:pPr>
        <w:pStyle w:val="Paragraphe"/>
      </w:pPr>
    </w:p>
    <w:p w:rsidR="00D66DBE" w:rsidRDefault="00A22CE7" w:rsidP="00507214">
      <w:pPr>
        <w:pStyle w:val="Paragraphe"/>
      </w:pPr>
      <w:r>
        <w:t>Ces résultats confirment ceux trouvés par Gdoura</w:t>
      </w:r>
      <w:r w:rsidR="000B44F9">
        <w:t xml:space="preserve"> (200</w:t>
      </w:r>
      <w:r w:rsidR="00613912">
        <w:t>9</w:t>
      </w:r>
      <w:r w:rsidR="000B44F9">
        <w:t>) dans le cadre d’</w:t>
      </w:r>
      <w:r w:rsidR="00DA5811">
        <w:t>une série d’</w:t>
      </w:r>
      <w:r w:rsidR="000B44F9">
        <w:t xml:space="preserve">enquêtes </w:t>
      </w:r>
      <w:r w:rsidR="00770143">
        <w:t xml:space="preserve"> </w:t>
      </w:r>
      <w:r w:rsidR="000B44F9">
        <w:t>réalisé</w:t>
      </w:r>
      <w:r w:rsidR="00980D41">
        <w:t>e</w:t>
      </w:r>
      <w:r w:rsidR="000B44F9">
        <w:t xml:space="preserve">s sur des populations d’enseignants chercheurs de plus d’un pays arabe à savoir la Tunisie, Oman, Maroc et </w:t>
      </w:r>
      <w:r w:rsidR="00E936EB">
        <w:t>E</w:t>
      </w:r>
      <w:r w:rsidR="00DA5811">
        <w:t>mirats</w:t>
      </w:r>
      <w:r w:rsidR="000B44F9">
        <w:t xml:space="preserve"> </w:t>
      </w:r>
      <w:r w:rsidR="00E936EB">
        <w:t xml:space="preserve">Arabes </w:t>
      </w:r>
      <w:r w:rsidR="000B44F9">
        <w:t xml:space="preserve">Unis. C’est ainsi que la majorité de sa population n’a pas publié dans des revues en libre accès et seulement le </w:t>
      </w:r>
      <w:r w:rsidR="00507214">
        <w:t>1/5</w:t>
      </w:r>
      <w:r w:rsidR="000B44F9">
        <w:t xml:space="preserve"> s’intéressent à l’auto-archivage soit des pré</w:t>
      </w:r>
      <w:r w:rsidR="004E160C">
        <w:t>-publications ou des post-</w:t>
      </w:r>
      <w:r w:rsidR="000B44F9">
        <w:t>publications (Gdoura, 200</w:t>
      </w:r>
      <w:r w:rsidR="00613912">
        <w:t>9</w:t>
      </w:r>
      <w:r w:rsidR="000B44F9">
        <w:t>).</w:t>
      </w:r>
    </w:p>
    <w:p w:rsidR="00A806A1" w:rsidRPr="00A806A1" w:rsidRDefault="00A806A1" w:rsidP="00645E3A">
      <w:pPr>
        <w:pStyle w:val="Paragraphe"/>
      </w:pPr>
      <w:r w:rsidRPr="00A806A1">
        <w:t xml:space="preserve">Dans le </w:t>
      </w:r>
      <w:r w:rsidRPr="00645E3A">
        <w:t>même</w:t>
      </w:r>
      <w:r w:rsidRPr="00A806A1">
        <w:t xml:space="preserve"> sens</w:t>
      </w:r>
      <w:r w:rsidR="00E936EB">
        <w:t>, et dans un cadre anglo-saxon,</w:t>
      </w:r>
      <w:r w:rsidRPr="00A806A1">
        <w:t xml:space="preserve"> </w:t>
      </w:r>
      <w:r w:rsidR="00E936EB">
        <w:t>Alma S</w:t>
      </w:r>
      <w:r>
        <w:t>wan</w:t>
      </w:r>
      <w:r w:rsidR="00E936EB">
        <w:t xml:space="preserve"> (2006), a trouvé des résultats semblables dans des enquêtes auprès des chercheurs</w:t>
      </w:r>
      <w:r w:rsidR="00E936EB" w:rsidRPr="006E7EA9">
        <w:rPr>
          <w:rStyle w:val="Appelnotedebasdep"/>
        </w:rPr>
        <w:footnoteReference w:id="7"/>
      </w:r>
      <w:r w:rsidR="00E936EB">
        <w:t xml:space="preserve">. </w:t>
      </w:r>
      <w:r w:rsidR="00F046EC">
        <w:t>C’est ainsi que ¼ des chercheurs enquêtés ont publié leurs articles sur leurs sites personnels ou les sites institutionnels, 20% seulement ont déposé leurs publications dans des AO et ¼ seulement ont présenté au moins un article à une revue en libre accès. Elle explique cette situation par le manque de sensibilisation de ces chercheurs aux avantages du libre accès</w:t>
      </w:r>
      <w:r w:rsidR="00645E3A">
        <w:t>.</w:t>
      </w:r>
    </w:p>
    <w:p w:rsidR="002A0C36" w:rsidRDefault="000B44F9" w:rsidP="002A0C36">
      <w:pPr>
        <w:pStyle w:val="Paragraphe"/>
      </w:pPr>
      <w:r>
        <w:t xml:space="preserve">Il est à signaler que malgré </w:t>
      </w:r>
      <w:r w:rsidR="00A806A1">
        <w:t>le</w:t>
      </w:r>
      <w:r>
        <w:t xml:space="preserve"> non implication massive de l’enseignant chercheur de l’UMA dans le mouvement du libre accès et principalement dans les pratiques de publication en libre accès, il reste au dessus des moyennes nationales et arabes. Comme son homologue arabe, il est prédisposé à pratiquer </w:t>
      </w:r>
      <w:r w:rsidR="00DA5811">
        <w:t>le libre accès</w:t>
      </w:r>
      <w:r w:rsidR="002A0C36">
        <w:t xml:space="preserve"> puisque 71,8% des répondants se déclarent prêts à publier en libre accès ou à déposer dans des AO.</w:t>
      </w:r>
      <w:r w:rsidR="00DA5811">
        <w:t xml:space="preserve"> </w:t>
      </w:r>
    </w:p>
    <w:p w:rsidR="00846F28" w:rsidRDefault="002A0C36" w:rsidP="003C3784">
      <w:pPr>
        <w:pStyle w:val="Paragraphe"/>
      </w:pPr>
      <w:r>
        <w:t>L’absence de la pratique du libre accès chez notre population est due principalement à</w:t>
      </w:r>
      <w:r w:rsidR="00DA5811">
        <w:t xml:space="preserve"> </w:t>
      </w:r>
      <w:r>
        <w:t xml:space="preserve">la </w:t>
      </w:r>
      <w:r w:rsidR="00DA5811">
        <w:t xml:space="preserve">méconnaissance du mouvement en général, de </w:t>
      </w:r>
      <w:r w:rsidR="000B44F9">
        <w:t xml:space="preserve">ses droits ou des démarches techniques de dépôt </w:t>
      </w:r>
      <w:r w:rsidR="00A202BD">
        <w:t>dans des archives ouvertes</w:t>
      </w:r>
      <w:r>
        <w:t>.</w:t>
      </w:r>
      <w:r w:rsidR="00A202BD">
        <w:t xml:space="preserve">  </w:t>
      </w:r>
      <w:r w:rsidR="00DA5811">
        <w:t>Ceci est confirmé par notre enquête puisque environ 73% des répondants qui ne connaissent pas ou qui ont entendu parler du mouvement ne pratiquent pas le libre accès.</w:t>
      </w:r>
      <w:r w:rsidR="003C3784">
        <w:t xml:space="preserve"> </w:t>
      </w:r>
    </w:p>
    <w:p w:rsidR="00033BAE" w:rsidRDefault="003C3784" w:rsidP="003C3784">
      <w:pPr>
        <w:pStyle w:val="Paragraphe"/>
      </w:pPr>
      <w:r>
        <w:lastRenderedPageBreak/>
        <w:t>Dans le même sens</w:t>
      </w:r>
      <w:r w:rsidR="00846F28">
        <w:t>,</w:t>
      </w:r>
      <w:r>
        <w:t xml:space="preserve"> 63,46% des répondants qui estiment qu’ils perdent leurs droits quand-ils publient en libre accès ne pratiquent pas le libre accès. D’un autre côté, 66% des répondants qui estiment que parmi les inconvénients du libre accès est la complication des procédures et la lenteur de dépôt</w:t>
      </w:r>
      <w:r w:rsidR="003E49B6">
        <w:t>, ne pratiquent pas le libre accès.</w:t>
      </w:r>
      <w:r>
        <w:t xml:space="preserve"> </w:t>
      </w:r>
    </w:p>
    <w:p w:rsidR="00033BAE" w:rsidRDefault="00033BAE" w:rsidP="003116E8">
      <w:pPr>
        <w:pStyle w:val="Paragraphe"/>
      </w:pPr>
      <w:r>
        <w:t>Les résultats de l’enquête montrent aussi que les hommes pratiquent le libre acc</w:t>
      </w:r>
      <w:r w:rsidR="003C64D9">
        <w:t>ès plus que les femmes (figure 6</w:t>
      </w:r>
      <w:r>
        <w:t>). En effet le pourcentage des hommes répondant oui à la question de publication et de dépôt en libre accès est beaucoup plus intéressant que celui des femmes.</w:t>
      </w:r>
      <w:r w:rsidR="00077D56">
        <w:t xml:space="preserve"> Ceci pourrait être expliqué par la nature même de l’Internet et des technologies en général comme construction masculine (Mkadmi et al., 2010). </w:t>
      </w:r>
      <w:r w:rsidR="003116E8">
        <w:t>Du moment que la culture du libre accès est basée sur le partage de l’information scientifique, elle reste une orientation d’hommes comme l’ont montré Mkadmi et al. « Les femmes sont légèrement moins portées que les hommes pour l’échange et le partage de documents. Aussi, elles participent moins que les hommes à des communautés scientifiques virtuelles » (Mkadmi &amp; al., 2010)</w:t>
      </w:r>
      <w:r w:rsidR="00077D56">
        <w:t xml:space="preserve">.  </w:t>
      </w:r>
    </w:p>
    <w:p w:rsidR="009E7542" w:rsidRDefault="003116E8" w:rsidP="003C64D9">
      <w:pPr>
        <w:pStyle w:val="Paragraphe"/>
      </w:pPr>
      <w:r>
        <w:t xml:space="preserve">De même, nos résultats montrent que le grade et l’âge des enseignants-chercheurs ont un bon impact sur la pratique du libre accès (figure </w:t>
      </w:r>
      <w:r w:rsidR="003C64D9">
        <w:t>7</w:t>
      </w:r>
      <w:r>
        <w:t xml:space="preserve"> et </w:t>
      </w:r>
      <w:r w:rsidR="003C64D9">
        <w:t>8</w:t>
      </w:r>
      <w:r>
        <w:t>). Les assistants</w:t>
      </w:r>
      <w:r w:rsidR="00DF17D5">
        <w:t>, au début de carrière,</w:t>
      </w:r>
      <w:r>
        <w:t xml:space="preserve"> âgés </w:t>
      </w:r>
      <w:r w:rsidR="00DF17D5">
        <w:t xml:space="preserve">généralement </w:t>
      </w:r>
      <w:r>
        <w:t xml:space="preserve">de moins de 30 ans ne publient pas en libre accès </w:t>
      </w:r>
      <w:r w:rsidR="00DF17D5">
        <w:t xml:space="preserve">et ne déposent pas leurs travaux dans des AO. Ils argumentent ce </w:t>
      </w:r>
      <w:r w:rsidR="003C64D9">
        <w:t>comportement</w:t>
      </w:r>
      <w:r w:rsidR="00DF17D5">
        <w:t xml:space="preserve"> par des craintes de plagiat, par la perte de leurs droits d’auteurs et par le « </w:t>
      </w:r>
      <w:r w:rsidR="00DF17D5" w:rsidRPr="00DF17D5">
        <w:t>risque d'absence d'évaluation par les pairs donc pas de qualité</w:t>
      </w:r>
      <w:r w:rsidR="00DF17D5">
        <w:t> » selon le témoignage de l’un d’entre eux.</w:t>
      </w:r>
    </w:p>
    <w:p w:rsidR="00AA2C50" w:rsidRDefault="00AA2C50" w:rsidP="000A011E">
      <w:pPr>
        <w:pStyle w:val="Paragraphe"/>
      </w:pPr>
    </w:p>
    <w:tbl>
      <w:tblPr>
        <w:tblW w:w="0" w:type="auto"/>
        <w:tblLook w:val="04A0"/>
      </w:tblPr>
      <w:tblGrid>
        <w:gridCol w:w="3392"/>
        <w:gridCol w:w="3628"/>
      </w:tblGrid>
      <w:tr w:rsidR="00F211FD" w:rsidTr="00033BAE">
        <w:tc>
          <w:tcPr>
            <w:tcW w:w="3392" w:type="dxa"/>
          </w:tcPr>
          <w:p w:rsidR="00F211FD" w:rsidRDefault="00413F5B" w:rsidP="006D06C4">
            <w:pPr>
              <w:pStyle w:val="Lgende"/>
            </w:pPr>
            <w:r>
              <w:rPr>
                <w:noProof/>
              </w:rPr>
              <w:drawing>
                <wp:anchor distT="0" distB="0" distL="114300" distR="114300" simplePos="0" relativeHeight="251651584" behindDoc="0" locked="0" layoutInCell="1" allowOverlap="1">
                  <wp:simplePos x="0" y="0"/>
                  <wp:positionH relativeFrom="margin">
                    <wp:align>center</wp:align>
                  </wp:positionH>
                  <wp:positionV relativeFrom="margin">
                    <wp:align>top</wp:align>
                  </wp:positionV>
                  <wp:extent cx="2007329" cy="2139007"/>
                  <wp:effectExtent l="5694" t="4753" r="3737" b="0"/>
                  <wp:wrapSquare wrapText="bothSides"/>
                  <wp:docPr id="122" name="Graphique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F211FD" w:rsidRPr="001314DA">
              <w:rPr>
                <w:b/>
                <w:bCs/>
              </w:rPr>
              <w:t xml:space="preserve">Figure </w:t>
            </w:r>
            <w:r w:rsidR="006D06C4">
              <w:rPr>
                <w:b/>
                <w:bCs/>
              </w:rPr>
              <w:t>6</w:t>
            </w:r>
            <w:r w:rsidR="00F211FD" w:rsidRPr="001314DA">
              <w:rPr>
                <w:b/>
                <w:bCs/>
              </w:rPr>
              <w:t> </w:t>
            </w:r>
            <w:r w:rsidR="00F211FD">
              <w:t xml:space="preserve">: </w:t>
            </w:r>
            <w:r w:rsidR="006E7EA9">
              <w:t>Répartition des enseignants</w:t>
            </w:r>
            <w:r w:rsidR="00F57FD2">
              <w:t>-chercheurs</w:t>
            </w:r>
            <w:r w:rsidR="006E7EA9">
              <w:t xml:space="preserve"> </w:t>
            </w:r>
            <w:r w:rsidR="00F57FD2">
              <w:t>publiant</w:t>
            </w:r>
            <w:r w:rsidR="006E7EA9">
              <w:t xml:space="preserve"> en </w:t>
            </w:r>
            <w:r w:rsidR="00F211FD">
              <w:t xml:space="preserve"> libre accès selon le genre</w:t>
            </w:r>
          </w:p>
        </w:tc>
        <w:tc>
          <w:tcPr>
            <w:tcW w:w="3628" w:type="dxa"/>
          </w:tcPr>
          <w:p w:rsidR="00F211FD" w:rsidRDefault="00413F5B" w:rsidP="006D06C4">
            <w:pPr>
              <w:pStyle w:val="Lgende"/>
            </w:pPr>
            <w:r>
              <w:rPr>
                <w:noProof/>
              </w:rPr>
              <w:drawing>
                <wp:anchor distT="0" distB="0" distL="114300" distR="114300" simplePos="0" relativeHeight="251650560" behindDoc="0" locked="0" layoutInCell="1" allowOverlap="1">
                  <wp:simplePos x="0" y="0"/>
                  <wp:positionH relativeFrom="margin">
                    <wp:align>center</wp:align>
                  </wp:positionH>
                  <wp:positionV relativeFrom="margin">
                    <wp:align>top</wp:align>
                  </wp:positionV>
                  <wp:extent cx="2137118" cy="2139007"/>
                  <wp:effectExtent l="5698" t="4753" r="2849" b="0"/>
                  <wp:wrapSquare wrapText="bothSides"/>
                  <wp:docPr id="121" name="Graphique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F211FD" w:rsidRPr="001314DA">
              <w:rPr>
                <w:b/>
                <w:bCs/>
              </w:rPr>
              <w:t xml:space="preserve">Figure </w:t>
            </w:r>
            <w:r w:rsidR="006D06C4">
              <w:rPr>
                <w:b/>
                <w:bCs/>
              </w:rPr>
              <w:t>7</w:t>
            </w:r>
            <w:r w:rsidR="00F211FD">
              <w:t xml:space="preserve"> : </w:t>
            </w:r>
            <w:r w:rsidR="00F57FD2">
              <w:t>Répartition des enseignants-chercheurs publiant en  libre accès selon le grade</w:t>
            </w:r>
          </w:p>
        </w:tc>
      </w:tr>
      <w:tr w:rsidR="00BF783B" w:rsidTr="00033BAE">
        <w:tc>
          <w:tcPr>
            <w:tcW w:w="7020" w:type="dxa"/>
            <w:gridSpan w:val="2"/>
          </w:tcPr>
          <w:p w:rsidR="00187E6C" w:rsidRDefault="00187E6C" w:rsidP="007510A9">
            <w:pPr>
              <w:pStyle w:val="Paragraphe"/>
            </w:pPr>
          </w:p>
          <w:p w:rsidR="00187E6C" w:rsidRDefault="00187E6C" w:rsidP="007510A9">
            <w:pPr>
              <w:pStyle w:val="Paragraphe"/>
            </w:pPr>
          </w:p>
          <w:p w:rsidR="00187E6C" w:rsidRDefault="00187E6C" w:rsidP="007510A9">
            <w:pPr>
              <w:pStyle w:val="Paragraphe"/>
            </w:pPr>
          </w:p>
          <w:p w:rsidR="00187E6C" w:rsidRDefault="00187E6C" w:rsidP="007510A9">
            <w:pPr>
              <w:pStyle w:val="Paragraphe"/>
            </w:pPr>
          </w:p>
          <w:p w:rsidR="00187E6C" w:rsidRDefault="00187E6C" w:rsidP="007510A9">
            <w:pPr>
              <w:pStyle w:val="Paragraphe"/>
            </w:pPr>
          </w:p>
          <w:p w:rsidR="00187E6C" w:rsidRDefault="00187E6C" w:rsidP="007510A9">
            <w:pPr>
              <w:pStyle w:val="Paragraphe"/>
            </w:pPr>
          </w:p>
          <w:p w:rsidR="00187E6C" w:rsidRDefault="00187E6C" w:rsidP="007510A9">
            <w:pPr>
              <w:pStyle w:val="Paragraphe"/>
            </w:pPr>
          </w:p>
          <w:p w:rsidR="00187E6C" w:rsidRDefault="00187E6C" w:rsidP="007510A9">
            <w:pPr>
              <w:pStyle w:val="Paragraphe"/>
            </w:pPr>
          </w:p>
          <w:p w:rsidR="007510A9" w:rsidRDefault="003C64D9" w:rsidP="003C64D9">
            <w:pPr>
              <w:pStyle w:val="Paragraphe"/>
            </w:pPr>
            <w:r>
              <w:rPr>
                <w:noProof/>
              </w:rPr>
              <w:pict>
                <v:shape id="_x0000_s1194" type="#_x0000_t202" style="position:absolute;left:0;text-align:left;margin-left:44.3pt;margin-top:-23.1pt;width:255pt;height:28pt;z-index:251672064" wrapcoords="-96 0 -96 20661 21600 20661 21600 0 -96 0" stroked="f">
                  <v:textbox style="mso-next-textbox:#_x0000_s1194;mso-fit-shape-to-text:t" inset="0,0,0,0">
                    <w:txbxContent>
                      <w:p w:rsidR="007510A9" w:rsidRPr="00AA7F8B" w:rsidRDefault="007510A9" w:rsidP="007510A9">
                        <w:pPr>
                          <w:pStyle w:val="Lgende"/>
                          <w:rPr>
                            <w:rFonts w:eastAsia="Times"/>
                            <w:noProof/>
                          </w:rPr>
                        </w:pPr>
                        <w:r w:rsidRPr="00922914">
                          <w:rPr>
                            <w:b/>
                            <w:bCs/>
                          </w:rPr>
                          <w:t xml:space="preserve">Figure </w:t>
                        </w:r>
                        <w:r>
                          <w:rPr>
                            <w:b/>
                            <w:bCs/>
                          </w:rPr>
                          <w:t>8</w:t>
                        </w:r>
                        <w:r>
                          <w:t> : Répartition des enseignats-chercheurs publiant en libre accès selon l’âge</w:t>
                        </w:r>
                      </w:p>
                    </w:txbxContent>
                  </v:textbox>
                  <w10:wrap type="tight"/>
                </v:shape>
              </w:pict>
            </w:r>
            <w:r>
              <w:rPr>
                <w:noProof/>
              </w:rPr>
              <w:drawing>
                <wp:anchor distT="0" distB="0" distL="114300" distR="114300" simplePos="0" relativeHeight="251652608" behindDoc="0" locked="0" layoutInCell="1" allowOverlap="1">
                  <wp:simplePos x="0" y="0"/>
                  <wp:positionH relativeFrom="margin">
                    <wp:align>center</wp:align>
                  </wp:positionH>
                  <wp:positionV relativeFrom="margin">
                    <wp:align>top</wp:align>
                  </wp:positionV>
                  <wp:extent cx="3574415" cy="1657350"/>
                  <wp:effectExtent l="19050" t="0" r="26035" b="0"/>
                  <wp:wrapSquare wrapText="bothSides"/>
                  <wp:docPr id="124" name="Graphique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7510A9">
              <w:t xml:space="preserve">A l’opposé on constate </w:t>
            </w:r>
            <w:r w:rsidR="007510A9" w:rsidRPr="00321DED">
              <w:t>que</w:t>
            </w:r>
            <w:r w:rsidR="007510A9">
              <w:t xml:space="preserve"> les autres grades (maître assistants, maîtres de conférences et professeurs) ayant un âge de plus de 30 ans sont départagés quant à la publication ou le dépôt en  libre accès (Figure </w:t>
            </w:r>
            <w:r>
              <w:t>7</w:t>
            </w:r>
            <w:r w:rsidR="007510A9">
              <w:t xml:space="preserve"> et </w:t>
            </w:r>
            <w:r>
              <w:t>8</w:t>
            </w:r>
            <w:r w:rsidR="007510A9">
              <w:t>).</w:t>
            </w:r>
          </w:p>
          <w:p w:rsidR="00321DED" w:rsidRPr="00321DED" w:rsidRDefault="007510A9" w:rsidP="00187E6C">
            <w:pPr>
              <w:pStyle w:val="Paragraphe"/>
            </w:pPr>
            <w:r>
              <w:t>Un léger refus chez les plus de 50 ans (figure 8) dû principalement au comportement des personnes de cette tranche d’âge en général qui sont moins familiers avec les TIC que les nouvelles générations.</w:t>
            </w:r>
          </w:p>
        </w:tc>
      </w:tr>
    </w:tbl>
    <w:p w:rsidR="007730DB" w:rsidRDefault="003C64D9" w:rsidP="00114976">
      <w:pPr>
        <w:pStyle w:val="Paragraphe"/>
      </w:pPr>
      <w:r>
        <w:rPr>
          <w:noProof/>
        </w:rPr>
        <w:pict>
          <v:shape id="_x0000_s1186" type="#_x0000_t202" style="position:absolute;left:0;text-align:left;margin-left:111.1pt;margin-top:250.7pt;width:235.5pt;height:28pt;z-index:251664896;mso-position-horizontal-relative:text;mso-position-vertical-relative:text" stroked="f">
            <v:textbox style="mso-fit-shape-to-text:t" inset="0,0,0,0">
              <w:txbxContent>
                <w:p w:rsidR="00762B8D" w:rsidRPr="00D36CF0" w:rsidRDefault="00762B8D" w:rsidP="008E1C03">
                  <w:pPr>
                    <w:pStyle w:val="Lgende"/>
                    <w:rPr>
                      <w:rFonts w:eastAsia="Times"/>
                    </w:rPr>
                  </w:pPr>
                  <w:r w:rsidRPr="00762B8D">
                    <w:rPr>
                      <w:b/>
                      <w:bCs/>
                    </w:rPr>
                    <w:t xml:space="preserve">Figure </w:t>
                  </w:r>
                  <w:r w:rsidR="008E1C03">
                    <w:rPr>
                      <w:b/>
                      <w:bCs/>
                    </w:rPr>
                    <w:t>9</w:t>
                  </w:r>
                  <w:r>
                    <w:t xml:space="preserve"> : Répartition des enseignants chercheurs publiant en libre accès par discipline</w:t>
                  </w:r>
                </w:p>
              </w:txbxContent>
            </v:textbox>
            <w10:wrap type="square"/>
          </v:shape>
        </w:pict>
      </w:r>
      <w:r w:rsidR="004B1254">
        <w:rPr>
          <w:noProof/>
        </w:rPr>
        <w:drawing>
          <wp:anchor distT="0" distB="0" distL="114300" distR="114300" simplePos="0" relativeHeight="251671040" behindDoc="1" locked="0" layoutInCell="1" allowOverlap="1">
            <wp:simplePos x="0" y="0"/>
            <wp:positionH relativeFrom="margin">
              <wp:posOffset>1391285</wp:posOffset>
            </wp:positionH>
            <wp:positionV relativeFrom="margin">
              <wp:posOffset>3651885</wp:posOffset>
            </wp:positionV>
            <wp:extent cx="3062605" cy="2519680"/>
            <wp:effectExtent l="19050" t="0" r="23495" b="0"/>
            <wp:wrapSquare wrapText="bothSides"/>
            <wp:docPr id="2" name="Graphiqu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3477EB">
        <w:t xml:space="preserve">Pour ce qui est </w:t>
      </w:r>
      <w:r w:rsidR="00311544">
        <w:t>d</w:t>
      </w:r>
      <w:r w:rsidR="003477EB">
        <w:t>iscipline scientifique</w:t>
      </w:r>
      <w:r w:rsidR="001144ED">
        <w:t xml:space="preserve">, nous constatons un décalage clair entre les </w:t>
      </w:r>
      <w:r w:rsidR="000B4B54">
        <w:t xml:space="preserve">quatre </w:t>
      </w:r>
      <w:r w:rsidR="001144ED">
        <w:t xml:space="preserve">disciplines les plus représentatifs des </w:t>
      </w:r>
      <w:r w:rsidR="001144ED" w:rsidRPr="00114976">
        <w:t>enseignants</w:t>
      </w:r>
      <w:r w:rsidR="001144ED">
        <w:t>-chercheurs de notre population</w:t>
      </w:r>
      <w:r>
        <w:t xml:space="preserve"> (Figure 9)</w:t>
      </w:r>
      <w:r w:rsidR="001144ED">
        <w:t xml:space="preserve">. </w:t>
      </w:r>
      <w:r w:rsidR="000B4B54">
        <w:t xml:space="preserve">En effet presque la moitié des chercheurs des deux disciplines bibliothéconomie et science de l’information </w:t>
      </w:r>
      <w:r w:rsidR="00746A2C">
        <w:t xml:space="preserve">et </w:t>
      </w:r>
      <w:r w:rsidR="000B4B54">
        <w:t xml:space="preserve">sciences biologiques et médicales </w:t>
      </w:r>
      <w:r w:rsidR="00746A2C">
        <w:t>pratiquent déjà le libre accès</w:t>
      </w:r>
      <w:r w:rsidR="004D356C">
        <w:t xml:space="preserve"> puisque</w:t>
      </w:r>
      <w:r w:rsidR="00746A2C">
        <w:t xml:space="preserve"> </w:t>
      </w:r>
      <w:r w:rsidR="004D356C">
        <w:t>i</w:t>
      </w:r>
      <w:r w:rsidR="00746A2C">
        <w:t>ls ont déjà déposé leurs publications dans des archives ouv</w:t>
      </w:r>
      <w:r>
        <w:t>ertes ou publié</w:t>
      </w:r>
      <w:r w:rsidR="00746A2C">
        <w:t xml:space="preserve"> dans une revue en libre accès. </w:t>
      </w:r>
      <w:r w:rsidR="004D356C">
        <w:t xml:space="preserve">Pour la première discipline, ces résultats reflètent l’implication d’un bon nombre d’enseignants-chercheurs dans ce modèle </w:t>
      </w:r>
      <w:r w:rsidR="00114976">
        <w:t xml:space="preserve">et même s’ils ne publient pas dans des revues en libre accès, ils déposent dans </w:t>
      </w:r>
      <w:r w:rsidR="00114976">
        <w:lastRenderedPageBreak/>
        <w:t xml:space="preserve">des archives ouvertes disciplinaires. Pour les chercheurs de la deuxième discipline à savoir les sciences biologiques et médicales, ils </w:t>
      </w:r>
      <w:r w:rsidR="00980D41">
        <w:t>s</w:t>
      </w:r>
      <w:r w:rsidR="00114976">
        <w:t>ont plus impliqués dans la publication dans des revues en libre accès vue que le modèle auteur-payeur est bien ancré dans cette discipline. Quand à l</w:t>
      </w:r>
      <w:r w:rsidR="00746A2C">
        <w:t xml:space="preserve">eurs homologues en  </w:t>
      </w:r>
      <w:r w:rsidR="00DF5250">
        <w:t xml:space="preserve">sciences informatiques, </w:t>
      </w:r>
      <w:r w:rsidR="00114976">
        <w:t xml:space="preserve">ils </w:t>
      </w:r>
      <w:r w:rsidR="00746A2C">
        <w:t xml:space="preserve">pratiquent moins le libre accès puisque 40% </w:t>
      </w:r>
      <w:r w:rsidR="00114976">
        <w:t>seulement déclarent avoir déposé ou publié</w:t>
      </w:r>
      <w:r w:rsidR="00746A2C">
        <w:t xml:space="preserve"> en libre accès. A l’opposé les enseignants-chercheurs en </w:t>
      </w:r>
      <w:r w:rsidR="00DF5250">
        <w:t xml:space="preserve"> sciences économiques, commerce et gestion </w:t>
      </w:r>
      <w:r w:rsidR="000B4B54">
        <w:t xml:space="preserve"> </w:t>
      </w:r>
      <w:r w:rsidR="00746A2C">
        <w:t>restent réticents à ces pratiques. Seulement le quart des enquêtés de cette discipline ont déjà pratiqué le libre accès.</w:t>
      </w:r>
      <w:r w:rsidR="004D356C">
        <w:t xml:space="preserve"> </w:t>
      </w:r>
    </w:p>
    <w:p w:rsidR="00DB52E5" w:rsidRDefault="00122BFC">
      <w:pPr>
        <w:pStyle w:val="Titre1"/>
      </w:pPr>
      <w:r>
        <w:t>Prédisposition de l’enseignant-chercheur de l’UMA à intégrer le mouvement</w:t>
      </w:r>
    </w:p>
    <w:p w:rsidR="00BE53B0" w:rsidRDefault="00BE53B0" w:rsidP="00054689">
      <w:pPr>
        <w:pStyle w:val="Paragraphe"/>
      </w:pPr>
      <w:r w:rsidRPr="00942095">
        <w:t xml:space="preserve">Cette partie de l’article étudie la prise de conscience des enseignants-chercheurs quant aux avantages que représente </w:t>
      </w:r>
      <w:r>
        <w:t xml:space="preserve">la publication de leurs </w:t>
      </w:r>
      <w:r w:rsidRPr="00054689">
        <w:t>résultats</w:t>
      </w:r>
      <w:r>
        <w:t xml:space="preserve"> de recherches</w:t>
      </w:r>
      <w:r w:rsidRPr="00942095">
        <w:t xml:space="preserve"> dans des archives </w:t>
      </w:r>
      <w:r w:rsidR="009E7588">
        <w:t xml:space="preserve">ouvertes </w:t>
      </w:r>
      <w:r w:rsidRPr="00942095">
        <w:t xml:space="preserve">ou des revues en libre accès  ainsi que les facteurs qui les motivent ou les découragent à </w:t>
      </w:r>
      <w:r>
        <w:t>le faire.</w:t>
      </w:r>
    </w:p>
    <w:p w:rsidR="00187E6C" w:rsidRDefault="00BE53B0" w:rsidP="00187E6C">
      <w:pPr>
        <w:pStyle w:val="Paragraphe"/>
      </w:pPr>
      <w:r>
        <w:t>D’après les résultats de l’enquête, seulement 40% des répondants affirment avoir publié au moins une fois dans une archive ouverte ou dans une revue en libre accès</w:t>
      </w:r>
      <w:r w:rsidR="00054689">
        <w:t xml:space="preserve"> </w:t>
      </w:r>
      <w:r w:rsidR="00054689" w:rsidRPr="00F57FD2">
        <w:t xml:space="preserve">(Voir figure </w:t>
      </w:r>
      <w:r w:rsidR="00B43878">
        <w:t>5</w:t>
      </w:r>
      <w:r w:rsidR="00054689" w:rsidRPr="00F57FD2">
        <w:t>)</w:t>
      </w:r>
      <w:r w:rsidRPr="00F57FD2">
        <w:t>.</w:t>
      </w:r>
      <w:r>
        <w:t xml:space="preserve"> Pourtant une grande major</w:t>
      </w:r>
      <w:r w:rsidR="00054689">
        <w:t>ité de la population interrogée soit 92%</w:t>
      </w:r>
      <w:r>
        <w:t xml:space="preserve">, déclarent </w:t>
      </w:r>
      <w:r w:rsidRPr="00C333E7">
        <w:t xml:space="preserve">qu’ils </w:t>
      </w:r>
      <w:r>
        <w:t>sont</w:t>
      </w:r>
      <w:r w:rsidRPr="00C333E7">
        <w:t xml:space="preserve"> prêt</w:t>
      </w:r>
      <w:r>
        <w:t>s</w:t>
      </w:r>
      <w:r w:rsidRPr="00C333E7">
        <w:t xml:space="preserve"> à </w:t>
      </w:r>
      <w:r w:rsidRPr="00377CEF">
        <w:t xml:space="preserve">partager </w:t>
      </w:r>
      <w:r>
        <w:t>leurs publications en libre accès.</w:t>
      </w:r>
      <w:r w:rsidR="00187E6C">
        <w:t xml:space="preserve"> </w:t>
      </w:r>
    </w:p>
    <w:p w:rsidR="00187E6C" w:rsidRDefault="00BE53B0" w:rsidP="009E7588">
      <w:pPr>
        <w:pStyle w:val="Paragraphe"/>
      </w:pPr>
      <w:r w:rsidRPr="00F57FD2">
        <w:t>Cette contradiction entre la volonté manifestée des enseignant-chercheurs à partager leurs travaux universitaires en libre accès et leur réticence dans la pratique à publier, peut être expliquée par plusieurs raisons, dont notamment le risque de plagiat</w:t>
      </w:r>
      <w:r w:rsidR="00054689" w:rsidRPr="00F57FD2">
        <w:t xml:space="preserve">, la </w:t>
      </w:r>
      <w:r w:rsidR="00F57FD2" w:rsidRPr="00F57FD2">
        <w:t xml:space="preserve">mauvaise </w:t>
      </w:r>
      <w:r w:rsidR="00054689" w:rsidRPr="00F57FD2">
        <w:t>qualité des publications en libre accès, les problèmes des refus des éditeurs et de perte de droits d’auteur</w:t>
      </w:r>
      <w:r w:rsidR="00187E6C">
        <w:t>s</w:t>
      </w:r>
      <w:r w:rsidR="00054689" w:rsidRPr="00F57FD2">
        <w:t xml:space="preserve"> et enfin la complication des procédures </w:t>
      </w:r>
      <w:r w:rsidR="009E7588">
        <w:t>de</w:t>
      </w:r>
      <w:r w:rsidR="00054689" w:rsidRPr="00F57FD2">
        <w:t xml:space="preserve"> dépôt</w:t>
      </w:r>
      <w:r w:rsidR="003D0310">
        <w:t xml:space="preserve"> </w:t>
      </w:r>
      <w:r w:rsidRPr="00F57FD2">
        <w:t>(figure 1</w:t>
      </w:r>
      <w:r w:rsidR="00B43878">
        <w:t>0</w:t>
      </w:r>
      <w:r w:rsidRPr="00F57FD2">
        <w:t xml:space="preserve">).  </w:t>
      </w:r>
    </w:p>
    <w:p w:rsidR="00F57FD2" w:rsidRDefault="00BE53B0" w:rsidP="00187E6C">
      <w:pPr>
        <w:pStyle w:val="Paragraphe"/>
      </w:pPr>
      <w:r w:rsidRPr="00F57FD2">
        <w:t>En effet, une forte proportion (64 ,1 %) de la population interrogée pense que le risque de plagiat est un inconvénient de la publication en libre accès</w:t>
      </w:r>
      <w:r w:rsidR="00E6231E" w:rsidRPr="00F57FD2">
        <w:t xml:space="preserve"> ce qui a été </w:t>
      </w:r>
      <w:r w:rsidR="00F57FD2" w:rsidRPr="00F57FD2">
        <w:t>confirmé</w:t>
      </w:r>
      <w:r w:rsidR="00E6231E" w:rsidRPr="00F57FD2">
        <w:t xml:space="preserve"> par Gdoura </w:t>
      </w:r>
      <w:r w:rsidR="00E6231E" w:rsidRPr="00F57FD2">
        <w:rPr>
          <w:szCs w:val="23"/>
        </w:rPr>
        <w:t>« …ils manifestent leur inquiétude de voir leurs articles plagiés ou refusés à la publication par une revue imprimée. » (Gdoura, 2009)</w:t>
      </w:r>
      <w:r w:rsidRPr="00F57FD2">
        <w:t xml:space="preserve">. </w:t>
      </w:r>
    </w:p>
    <w:p w:rsidR="003D0310" w:rsidRDefault="009E7588" w:rsidP="003D0310">
      <w:pPr>
        <w:pStyle w:val="Paragraphe"/>
      </w:pPr>
      <w:r>
        <w:rPr>
          <w:noProof/>
        </w:rPr>
        <w:drawing>
          <wp:anchor distT="0" distB="0" distL="114300" distR="114300" simplePos="0" relativeHeight="251661824" behindDoc="0" locked="0" layoutInCell="1" allowOverlap="1">
            <wp:simplePos x="0" y="0"/>
            <wp:positionH relativeFrom="column">
              <wp:posOffset>911720</wp:posOffset>
            </wp:positionH>
            <wp:positionV relativeFrom="paragraph">
              <wp:posOffset>24884</wp:posOffset>
            </wp:positionV>
            <wp:extent cx="2995456" cy="1446963"/>
            <wp:effectExtent l="19050" t="0" r="0" b="0"/>
            <wp:wrapNone/>
            <wp:docPr id="16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4"/>
                    <a:srcRect/>
                    <a:stretch>
                      <a:fillRect/>
                    </a:stretch>
                  </pic:blipFill>
                  <pic:spPr bwMode="auto">
                    <a:xfrm>
                      <a:off x="0" y="0"/>
                      <a:ext cx="2995456" cy="1446963"/>
                    </a:xfrm>
                    <a:prstGeom prst="rect">
                      <a:avLst/>
                    </a:prstGeom>
                    <a:noFill/>
                    <a:ln w="9525">
                      <a:noFill/>
                      <a:miter lim="800000"/>
                      <a:headEnd/>
                      <a:tailEnd/>
                    </a:ln>
                  </pic:spPr>
                </pic:pic>
              </a:graphicData>
            </a:graphic>
          </wp:anchor>
        </w:drawing>
      </w:r>
    </w:p>
    <w:p w:rsidR="003D0310" w:rsidRDefault="003D0310" w:rsidP="003D0310">
      <w:pPr>
        <w:pStyle w:val="Paragraphe"/>
      </w:pPr>
    </w:p>
    <w:p w:rsidR="003D0310" w:rsidRDefault="003D0310" w:rsidP="003D0310">
      <w:pPr>
        <w:pStyle w:val="Paragraphe"/>
      </w:pPr>
    </w:p>
    <w:p w:rsidR="003D0310" w:rsidRDefault="003D0310" w:rsidP="003D0310">
      <w:pPr>
        <w:pStyle w:val="Paragraphe"/>
      </w:pPr>
    </w:p>
    <w:p w:rsidR="003D0310" w:rsidRPr="00F57FD2" w:rsidRDefault="003D0310" w:rsidP="003D0310">
      <w:pPr>
        <w:pStyle w:val="Paragraphe"/>
      </w:pPr>
    </w:p>
    <w:p w:rsidR="00187E6C" w:rsidRDefault="00C543DB" w:rsidP="00502384">
      <w:pPr>
        <w:pStyle w:val="Paragraphe"/>
      </w:pPr>
      <w:r>
        <w:rPr>
          <w:noProof/>
        </w:rPr>
        <w:pict>
          <v:shape id="_x0000_s1196" type="#_x0000_t202" style="position:absolute;left:0;text-align:left;margin-left:12.35pt;margin-top:24.5pt;width:300pt;height:17pt;z-index:251673088" stroked="f">
            <v:textbox style="mso-next-textbox:#_x0000_s1196;mso-fit-shape-to-text:t" inset="0,0,0,0">
              <w:txbxContent>
                <w:p w:rsidR="008F5285" w:rsidRPr="00120A0F" w:rsidRDefault="008F5285" w:rsidP="008F5285">
                  <w:pPr>
                    <w:pStyle w:val="Lgende"/>
                    <w:rPr>
                      <w:rFonts w:eastAsia="Times"/>
                      <w:noProof/>
                    </w:rPr>
                  </w:pPr>
                  <w:r w:rsidRPr="00054689">
                    <w:rPr>
                      <w:b/>
                      <w:bCs/>
                    </w:rPr>
                    <w:t>Figure 1</w:t>
                  </w:r>
                  <w:r>
                    <w:rPr>
                      <w:b/>
                      <w:bCs/>
                    </w:rPr>
                    <w:t>0</w:t>
                  </w:r>
                  <w:r>
                    <w:t> : Les inconvénients du libre accès selon la population interrogée</w:t>
                  </w:r>
                </w:p>
              </w:txbxContent>
            </v:textbox>
            <w10:wrap type="square"/>
          </v:shape>
        </w:pict>
      </w:r>
    </w:p>
    <w:p w:rsidR="00F57FD2" w:rsidRPr="003D0310" w:rsidRDefault="00BE53B0" w:rsidP="00502384">
      <w:pPr>
        <w:pStyle w:val="Paragraphe"/>
      </w:pPr>
      <w:r w:rsidRPr="00F57FD2">
        <w:lastRenderedPageBreak/>
        <w:t xml:space="preserve">De même, et à des proportions importantes, la population interrogée pense qu’il n’y a pas une évaluation </w:t>
      </w:r>
      <w:r w:rsidR="00E6231E" w:rsidRPr="00F57FD2">
        <w:t xml:space="preserve">par les pairs donc pas </w:t>
      </w:r>
      <w:r w:rsidRPr="00F57FD2">
        <w:t xml:space="preserve">de qualité </w:t>
      </w:r>
      <w:r w:rsidR="00E6231E" w:rsidRPr="00F57FD2">
        <w:t>(59,2%), que ceci est en contradiction avec la politique des éditeurs,</w:t>
      </w:r>
      <w:r w:rsidRPr="00F57FD2">
        <w:t xml:space="preserve"> qu’elle risque de perdre ses droits d’auteur </w:t>
      </w:r>
      <w:r w:rsidR="00E6231E" w:rsidRPr="00F57FD2">
        <w:t>(50,5%) et elle trouve que les procédures d</w:t>
      </w:r>
      <w:r w:rsidRPr="00F57FD2">
        <w:t xml:space="preserve">e </w:t>
      </w:r>
      <w:r w:rsidR="00E6231E" w:rsidRPr="00F57FD2">
        <w:t xml:space="preserve">dépôt sont compliquées et lentes (48,5%) ce </w:t>
      </w:r>
      <w:r w:rsidRPr="00F57FD2">
        <w:t xml:space="preserve">qui confirme leur ignorance du mouvement du libre accès à </w:t>
      </w:r>
      <w:r w:rsidR="00F57FD2" w:rsidRPr="00F57FD2">
        <w:t>l’IST</w:t>
      </w:r>
      <w:r w:rsidRPr="00F57FD2">
        <w:t>.</w:t>
      </w:r>
      <w:r w:rsidR="00E6231E" w:rsidRPr="00F57FD2">
        <w:t xml:space="preserve"> Pourtant, pour la question des droits, selon Swan (2006), plus de 90% des revues scientifiques autorisent l’auto-archivage de leurs articles dans la plupart des cas en post-print. Le même auteur confirme, à partir de l’analyse des fichiers logs des dépôts dans des archives ouvertes, que le dépôt d’un article dans une archive ouverte  prends seulement environ 10 minutes</w:t>
      </w:r>
      <w:r w:rsidR="006E320D" w:rsidRPr="00F57FD2">
        <w:t xml:space="preserve"> et que la plupart des déposants déclarent que le dépôt est facile ou très facile et que seulement 9% expriment un degré de difficulté dans les procédures de dépôt.</w:t>
      </w:r>
      <w:r w:rsidR="00502384">
        <w:t xml:space="preserve"> </w:t>
      </w:r>
      <w:r w:rsidR="00F57FD2" w:rsidRPr="003D0310">
        <w:t xml:space="preserve">Il est tout de même à signaler que les enseignants-chercheurs des sciences sociales et humaines, étaient les plus susceptibles à partager leurs résultats de recherche dans des archives ou revues en libre accès.  </w:t>
      </w:r>
    </w:p>
    <w:p w:rsidR="00F57FD2" w:rsidRPr="00A37267" w:rsidRDefault="00F57FD2" w:rsidP="00F57FD2">
      <w:pPr>
        <w:pStyle w:val="Paragraphe"/>
      </w:pPr>
      <w:r w:rsidRPr="00A37267">
        <w:t>Il s’agit de l’opposé de ce qui a été constaté dans une étude sur le libre accès mené auprès des 3.000 chercheurs de la communauté européenne de différentes discipline (Creaser, 2010) et qui a montré que seul un petit nombre des répondants (moins de 5%) ont une opinion défavorable sur le libres accès à l’IST à cause de la faible qualité des articles due à l’absence de l’évaluation par des pairs de la version finale d'un article.</w:t>
      </w:r>
    </w:p>
    <w:p w:rsidR="00BE53B0" w:rsidRPr="002771C6" w:rsidRDefault="00BE53B0" w:rsidP="009E7588">
      <w:pPr>
        <w:pStyle w:val="Paragraphe"/>
      </w:pPr>
      <w:r>
        <w:t>Sur un autre volet, la figure 1</w:t>
      </w:r>
      <w:r w:rsidR="009E7588">
        <w:t>1</w:t>
      </w:r>
      <w:r>
        <w:t xml:space="preserve"> ci-dessous montre que les répondants sont convaincus des avantages qu’offre le</w:t>
      </w:r>
      <w:r w:rsidRPr="002771C6">
        <w:t xml:space="preserve"> libre accès</w:t>
      </w:r>
      <w:r>
        <w:t>,</w:t>
      </w:r>
      <w:r w:rsidRPr="002771C6">
        <w:t xml:space="preserve"> </w:t>
      </w:r>
      <w:r>
        <w:t xml:space="preserve">puisque la plupart des taux obtenus se rapprochent du total. Deux avantages seulement n’ont pas eu l’unanimité des répondants (56,3 % chacune) : </w:t>
      </w:r>
      <w:r w:rsidRPr="002A0A45">
        <w:t>Protection contre le plagiat</w:t>
      </w:r>
      <w:r>
        <w:t xml:space="preserve"> et c</w:t>
      </w:r>
      <w:r w:rsidRPr="002A0A45">
        <w:t>onservation des droits d'auteur</w:t>
      </w:r>
      <w:r>
        <w:t xml:space="preserve">. Ce qui confirme les réticences manifestés par les répondants dans leurs déclarations dans la partie des inconvénients du mouvement </w:t>
      </w:r>
      <w:r w:rsidRPr="002A0A45">
        <w:t xml:space="preserve">du libre accès </w:t>
      </w:r>
      <w:r>
        <w:t>quant au risque de plagiat</w:t>
      </w:r>
      <w:r w:rsidRPr="002A0A45">
        <w:t>.</w:t>
      </w:r>
    </w:p>
    <w:p w:rsidR="00BE53B0" w:rsidRDefault="00413F5B" w:rsidP="00BE53B0">
      <w:pPr>
        <w:pStyle w:val="Paragraphe"/>
      </w:pPr>
      <w:r>
        <w:rPr>
          <w:noProof/>
        </w:rPr>
        <w:drawing>
          <wp:anchor distT="0" distB="0" distL="114300" distR="114300" simplePos="0" relativeHeight="251662848" behindDoc="0" locked="0" layoutInCell="1" allowOverlap="1">
            <wp:simplePos x="0" y="0"/>
            <wp:positionH relativeFrom="column">
              <wp:posOffset>16510</wp:posOffset>
            </wp:positionH>
            <wp:positionV relativeFrom="paragraph">
              <wp:posOffset>162560</wp:posOffset>
            </wp:positionV>
            <wp:extent cx="4320540" cy="1739900"/>
            <wp:effectExtent l="19050" t="0" r="3810" b="0"/>
            <wp:wrapNone/>
            <wp:docPr id="15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5"/>
                    <a:srcRect/>
                    <a:stretch>
                      <a:fillRect/>
                    </a:stretch>
                  </pic:blipFill>
                  <pic:spPr bwMode="auto">
                    <a:xfrm>
                      <a:off x="0" y="0"/>
                      <a:ext cx="4320540" cy="1739900"/>
                    </a:xfrm>
                    <a:prstGeom prst="rect">
                      <a:avLst/>
                    </a:prstGeom>
                    <a:noFill/>
                    <a:ln w="9525">
                      <a:noFill/>
                      <a:miter lim="800000"/>
                      <a:headEnd/>
                      <a:tailEnd/>
                    </a:ln>
                  </pic:spPr>
                </pic:pic>
              </a:graphicData>
            </a:graphic>
          </wp:anchor>
        </w:drawing>
      </w:r>
    </w:p>
    <w:p w:rsidR="00BE53B0" w:rsidRDefault="00BE53B0" w:rsidP="00BE53B0">
      <w:pPr>
        <w:pStyle w:val="Paragraphe"/>
      </w:pPr>
    </w:p>
    <w:p w:rsidR="00BE53B0" w:rsidRDefault="00BE53B0" w:rsidP="00BE53B0">
      <w:pPr>
        <w:pStyle w:val="Paragraphe"/>
      </w:pPr>
    </w:p>
    <w:p w:rsidR="00BE53B0" w:rsidRDefault="00BE53B0" w:rsidP="00BE53B0">
      <w:pPr>
        <w:pStyle w:val="Paragraphe"/>
      </w:pPr>
    </w:p>
    <w:p w:rsidR="00BE53B0" w:rsidRDefault="00BE53B0" w:rsidP="00BE53B0">
      <w:pPr>
        <w:pStyle w:val="Paragraphe"/>
      </w:pPr>
    </w:p>
    <w:p w:rsidR="00BE53B0" w:rsidRDefault="00BE53B0" w:rsidP="00BE53B0">
      <w:pPr>
        <w:pStyle w:val="Paragraphe"/>
      </w:pPr>
    </w:p>
    <w:p w:rsidR="00BE53B0" w:rsidRDefault="00BE53B0" w:rsidP="00BE53B0">
      <w:pPr>
        <w:pStyle w:val="Paragraphe"/>
      </w:pPr>
    </w:p>
    <w:p w:rsidR="00BE53B0" w:rsidRDefault="00C543DB" w:rsidP="00BE53B0">
      <w:pPr>
        <w:pStyle w:val="Paragraphe"/>
      </w:pPr>
      <w:r>
        <w:rPr>
          <w:noProof/>
        </w:rPr>
        <w:pict>
          <v:shape id="_x0000_s1182" type="#_x0000_t202" style="position:absolute;left:0;text-align:left;margin-left:14.8pt;margin-top:30.3pt;width:300pt;height:17pt;z-index:251663872" stroked="f">
            <v:textbox style="mso-next-textbox:#_x0000_s1182;mso-fit-shape-to-text:t" inset="0,0,0,0">
              <w:txbxContent>
                <w:p w:rsidR="00BE53B0" w:rsidRPr="00120A0F" w:rsidRDefault="00BE53B0" w:rsidP="006D06C4">
                  <w:pPr>
                    <w:pStyle w:val="Lgende"/>
                    <w:rPr>
                      <w:rFonts w:eastAsia="Times"/>
                      <w:noProof/>
                    </w:rPr>
                  </w:pPr>
                  <w:r w:rsidRPr="006D06C4">
                    <w:rPr>
                      <w:b/>
                      <w:bCs/>
                    </w:rPr>
                    <w:t>Figure 1</w:t>
                  </w:r>
                  <w:r w:rsidR="006D06C4" w:rsidRPr="006D06C4">
                    <w:rPr>
                      <w:b/>
                      <w:bCs/>
                    </w:rPr>
                    <w:t>1</w:t>
                  </w:r>
                  <w:r>
                    <w:t> : les avantages du libre accès selon la population interrogée</w:t>
                  </w:r>
                </w:p>
              </w:txbxContent>
            </v:textbox>
            <w10:wrap type="square"/>
          </v:shape>
        </w:pict>
      </w:r>
    </w:p>
    <w:p w:rsidR="008457A9" w:rsidRPr="004C5A59" w:rsidRDefault="008457A9" w:rsidP="009E7588">
      <w:pPr>
        <w:pStyle w:val="Paragraphe"/>
      </w:pPr>
      <w:r w:rsidRPr="004C5A59">
        <w:lastRenderedPageBreak/>
        <w:t>D’une manière plus général</w:t>
      </w:r>
      <w:r w:rsidR="00980D41">
        <w:t>e</w:t>
      </w:r>
      <w:r w:rsidRPr="004C5A59">
        <w:t xml:space="preserve">, l’enquête a démontré que les enseignant-chercheurs corroborent leur prédisposition à publier en libre accès mais </w:t>
      </w:r>
      <w:r w:rsidR="009E7588">
        <w:t>expriment</w:t>
      </w:r>
      <w:r w:rsidRPr="004C5A59">
        <w:t xml:space="preserve"> leurs inquiétude de perdre leur droits d’auteurs par méconnaissance des garanties qu’offre le</w:t>
      </w:r>
      <w:r w:rsidR="009E7588">
        <w:t>s licences Creative C</w:t>
      </w:r>
      <w:r w:rsidRPr="004C5A59">
        <w:t xml:space="preserve">ommons. De ce fait, nous pouvons dire que l’aptitude de notre population à publier en libre accès est incertaine. Il sera </w:t>
      </w:r>
      <w:r w:rsidR="00502384" w:rsidRPr="004C5A59">
        <w:t xml:space="preserve">donc </w:t>
      </w:r>
      <w:r w:rsidRPr="004C5A59">
        <w:t>intéressant d’approfondir notre recherche par une étude comportementale sur les enseignants-chercheurs vis-à-vis des archives ouvertes et revues en libre accès.</w:t>
      </w:r>
    </w:p>
    <w:p w:rsidR="00BE53B0" w:rsidRDefault="00BE53B0" w:rsidP="00BE53B0">
      <w:pPr>
        <w:pStyle w:val="Titre1"/>
      </w:pPr>
      <w:r>
        <w:t>Conclusion et perspectives</w:t>
      </w:r>
    </w:p>
    <w:p w:rsidR="00BE53B0" w:rsidRDefault="00B22F70" w:rsidP="00B22F70">
      <w:pPr>
        <w:pStyle w:val="Paragraphe"/>
      </w:pPr>
      <w:r w:rsidRPr="00B22F70">
        <w:t>Cette</w:t>
      </w:r>
      <w:r>
        <w:t xml:space="preserve"> étude de terrain a révélé que, même s’i</w:t>
      </w:r>
      <w:r w:rsidR="00BE53B0" w:rsidRPr="00942095">
        <w:t xml:space="preserve">l y avait une bonne compréhension et une appréciation de la philosophie du libre accès </w:t>
      </w:r>
      <w:r w:rsidR="00BE53B0">
        <w:t>par les enseignants-chercheurs de l’UMA</w:t>
      </w:r>
      <w:r w:rsidR="00BE53B0" w:rsidRPr="00942095">
        <w:t xml:space="preserve">, il y avait des </w:t>
      </w:r>
      <w:r w:rsidR="00BE53B0">
        <w:t>dissimilitudes</w:t>
      </w:r>
      <w:r w:rsidR="00BE53B0" w:rsidRPr="00942095">
        <w:t xml:space="preserve"> </w:t>
      </w:r>
      <w:r w:rsidR="00BE53B0">
        <w:t>pertinentes</w:t>
      </w:r>
      <w:r w:rsidR="00BE53B0" w:rsidRPr="00942095">
        <w:t xml:space="preserve"> ent</w:t>
      </w:r>
      <w:r w:rsidR="00BE53B0">
        <w:t>re les chercheurs de différentes disciplines</w:t>
      </w:r>
      <w:r w:rsidR="00BE53B0" w:rsidRPr="00942095">
        <w:t xml:space="preserve"> dans leur </w:t>
      </w:r>
      <w:r w:rsidR="00BE53B0">
        <w:t xml:space="preserve">degré de </w:t>
      </w:r>
      <w:r w:rsidR="00BE53B0" w:rsidRPr="00942095">
        <w:t>compréhension d</w:t>
      </w:r>
      <w:r w:rsidR="00BE53B0">
        <w:t>u</w:t>
      </w:r>
      <w:r w:rsidR="00BE53B0" w:rsidRPr="00942095">
        <w:t xml:space="preserve"> libre accès et leurs motivations </w:t>
      </w:r>
      <w:r w:rsidR="00BE53B0">
        <w:t>à intégrer ce mouvement en publiant leurs travaux de recherche en libre accès</w:t>
      </w:r>
      <w:r w:rsidR="00BE53B0" w:rsidRPr="00942095">
        <w:t xml:space="preserve">. </w:t>
      </w:r>
    </w:p>
    <w:p w:rsidR="00BE53B0" w:rsidRDefault="00BE53B0" w:rsidP="00B22F70">
      <w:pPr>
        <w:pStyle w:val="Paragraphe"/>
      </w:pPr>
      <w:r w:rsidRPr="00942095">
        <w:t xml:space="preserve">Cette recherche constitue la première </w:t>
      </w:r>
      <w:r w:rsidRPr="00B22F70">
        <w:t>partie</w:t>
      </w:r>
      <w:r w:rsidRPr="00942095">
        <w:t xml:space="preserve"> d'une étude </w:t>
      </w:r>
      <w:r>
        <w:t>approfondie</w:t>
      </w:r>
      <w:r w:rsidRPr="00942095">
        <w:t xml:space="preserve"> qui permettra de suivre l'évolution des comportements et des attitudes des </w:t>
      </w:r>
      <w:r>
        <w:t>enseignants-chercheurs</w:t>
      </w:r>
      <w:r w:rsidRPr="00942095">
        <w:t xml:space="preserve"> à l'égard </w:t>
      </w:r>
      <w:r>
        <w:t xml:space="preserve">des </w:t>
      </w:r>
      <w:r w:rsidRPr="00942095">
        <w:t xml:space="preserve">archives </w:t>
      </w:r>
      <w:r w:rsidR="00B22F70">
        <w:t xml:space="preserve">ouvertes </w:t>
      </w:r>
      <w:r>
        <w:t xml:space="preserve">ou </w:t>
      </w:r>
      <w:r w:rsidR="00B22F70">
        <w:t xml:space="preserve">des </w:t>
      </w:r>
      <w:r>
        <w:t xml:space="preserve">revues </w:t>
      </w:r>
      <w:r w:rsidRPr="00942095">
        <w:t>en libre accès.</w:t>
      </w:r>
    </w:p>
    <w:p w:rsidR="00027E3A" w:rsidRPr="00CB07B1" w:rsidRDefault="00027E3A" w:rsidP="00CB07B1">
      <w:pPr>
        <w:pStyle w:val="Paragraphe"/>
      </w:pPr>
      <w:r w:rsidRPr="00CB07B1">
        <w:t xml:space="preserve">Des études </w:t>
      </w:r>
      <w:r w:rsidR="00CB07B1" w:rsidRPr="00CB07B1">
        <w:t xml:space="preserve">disciplinaires </w:t>
      </w:r>
      <w:r w:rsidRPr="00CB07B1">
        <w:t>complémentaires à l’échelle de l’université et même à l’échelle nationale s’imposent pour vérifier certains résultats de cette étude. De même une étude qualitative, par le biais d’entretiens auprès de quelqu</w:t>
      </w:r>
      <w:r w:rsidR="00CB07B1" w:rsidRPr="00CB07B1">
        <w:t xml:space="preserve">es enseignants-chercheurs sera nécessaire pour confirmer certaines attitudes un peu étranges trouvées par cette enquête.  </w:t>
      </w:r>
    </w:p>
    <w:p w:rsidR="00640B93" w:rsidRDefault="00640B93" w:rsidP="00CB07B1">
      <w:pPr>
        <w:pStyle w:val="Paragraphe"/>
      </w:pPr>
      <w:r w:rsidRPr="00CB07B1">
        <w:t>Les résultats de cette étude, nous encouragent à poursuivre notre projet</w:t>
      </w:r>
      <w:r w:rsidR="00027E3A" w:rsidRPr="00CB07B1">
        <w:t xml:space="preserve"> de recherche-action que nous menons à l’UMA et qui consiste à sensibiliser les enseignants-chercheurs de notre université au mouvement du libre accès à l’IST, de les aider à mieux comprendre ses concepts clés et à mieux connaître son implication sur la visibilité de leurs travaux de recherche. Ce projet ambitieux se veut aussi un cadre d’incitation des responsables de l’université pour la</w:t>
      </w:r>
      <w:r w:rsidRPr="00CB07B1">
        <w:t xml:space="preserve"> mise en place d’une politique institutionnelle </w:t>
      </w:r>
      <w:r w:rsidR="00027E3A" w:rsidRPr="00CB07B1">
        <w:t xml:space="preserve">voire un mandat </w:t>
      </w:r>
      <w:r w:rsidRPr="00CB07B1">
        <w:t xml:space="preserve">envers le libre accès et </w:t>
      </w:r>
      <w:r w:rsidR="00027E3A" w:rsidRPr="00CB07B1">
        <w:t xml:space="preserve">à mettre les piliers d’implémentation </w:t>
      </w:r>
      <w:r w:rsidRPr="00CB07B1">
        <w:t xml:space="preserve">d’un entrepôt d’archive ouverte </w:t>
      </w:r>
      <w:r w:rsidR="00027E3A" w:rsidRPr="00CB07B1">
        <w:t xml:space="preserve">institutionnelle </w:t>
      </w:r>
      <w:r w:rsidRPr="00CB07B1">
        <w:t>de l’UMA.</w:t>
      </w:r>
    </w:p>
    <w:p w:rsidR="00CB07B1" w:rsidRPr="00CB07B1" w:rsidRDefault="00CB07B1" w:rsidP="009A7162">
      <w:pPr>
        <w:pStyle w:val="Paragraphe"/>
      </w:pPr>
      <w:r>
        <w:t xml:space="preserve">Pour conclure, nous disons qu’il existe un grand écart entre les intentions et les comportements des enseignants chercheurs de l’UMA envers le libre accès dans la mesure où ils produisent peu en libre accès alors qu’ils ont l’intention </w:t>
      </w:r>
      <w:r w:rsidR="009A7162">
        <w:t>de le faire puisqu’ils déclarent qu’ils seront prêt à</w:t>
      </w:r>
      <w:r>
        <w:t xml:space="preserve"> </w:t>
      </w:r>
      <w:r w:rsidR="009A7162">
        <w:t xml:space="preserve">partager </w:t>
      </w:r>
      <w:r w:rsidR="009A7162">
        <w:lastRenderedPageBreak/>
        <w:t>leurs publications dans une archive ouverte institutionnelle de l’université</w:t>
      </w:r>
      <w:r>
        <w:t>.</w:t>
      </w:r>
    </w:p>
    <w:p w:rsidR="00122BFC" w:rsidRDefault="00122BFC" w:rsidP="00122BFC">
      <w:pPr>
        <w:pStyle w:val="Titre1"/>
        <w:tabs>
          <w:tab w:val="clear" w:pos="432"/>
          <w:tab w:val="num" w:pos="397"/>
        </w:tabs>
      </w:pPr>
      <w:r>
        <w:t>Bibliographie</w:t>
      </w:r>
    </w:p>
    <w:p w:rsidR="00122BFC" w:rsidRPr="002B764A" w:rsidRDefault="00122BFC" w:rsidP="00122BFC">
      <w:pPr>
        <w:pStyle w:val="Bibiographie"/>
      </w:pPr>
      <w:r w:rsidRPr="00122BFC">
        <w:rPr>
          <w:b/>
          <w:bCs/>
          <w:lang w:val="en-US"/>
        </w:rPr>
        <w:t>Ben Romdhane Mohamed, Ouerfelli Tarek (2012).</w:t>
      </w:r>
      <w:r w:rsidRPr="00122BFC">
        <w:rPr>
          <w:lang w:val="en-US"/>
        </w:rPr>
        <w:t xml:space="preserve"> </w:t>
      </w:r>
      <w:r w:rsidRPr="002B764A">
        <w:t>L’offre des archives ouvertes dans le monde arabe : recensement et évaluation. Dans : Métiers de l’information, des bibliothèques et  des archives à l’ère de la différenciation numérique : Actes du 15</w:t>
      </w:r>
      <w:r w:rsidRPr="002B764A">
        <w:rPr>
          <w:vertAlign w:val="superscript"/>
        </w:rPr>
        <w:t>ème</w:t>
      </w:r>
      <w:r w:rsidRPr="002B764A">
        <w:t xml:space="preserve"> Colloque International sur le Document Numérique (CIDE15), Tunisie 2012. En ligne :</w:t>
      </w:r>
      <w:r w:rsidRPr="002B764A">
        <w:tab/>
        <w:t xml:space="preserve"> </w:t>
      </w:r>
      <w:hyperlink r:id="rId26" w:history="1">
        <w:r w:rsidRPr="002B764A">
          <w:rPr>
            <w:rStyle w:val="Lienhypertexte"/>
            <w:rFonts w:ascii="Times New Roman" w:hAnsi="Times New Roman"/>
          </w:rPr>
          <w:t>http://archivesic.ccsd.cnrs.fr/sic_00829058</w:t>
        </w:r>
      </w:hyperlink>
      <w:r w:rsidRPr="002B764A">
        <w:t xml:space="preserve"> (consulté le 25/03/2014).</w:t>
      </w:r>
    </w:p>
    <w:p w:rsidR="00122BFC" w:rsidRPr="002B764A" w:rsidRDefault="00122BFC" w:rsidP="00122BFC">
      <w:pPr>
        <w:pStyle w:val="Bibiographie"/>
      </w:pPr>
      <w:r w:rsidRPr="002B764A">
        <w:rPr>
          <w:b/>
          <w:bCs/>
        </w:rPr>
        <w:t>Boukacem-Zeghmouri C., ABDI A. &amp; Ben Romdhane M. (2010)</w:t>
      </w:r>
      <w:r w:rsidRPr="002B764A">
        <w:t>. Chapitre 17 : Usages des ressources électroniques dans deux pays du Maghreb. In L’information scientifique et technique dans l’univers numérique : mesures et usages, Sous la dir. De Chérifa Boukacem-Zeghmouri. Paris, ADBS, 2010. ISBN 978-2-84365-123-6. Pp.281-300.</w:t>
      </w:r>
    </w:p>
    <w:p w:rsidR="00122BFC" w:rsidRPr="002B764A" w:rsidRDefault="00122BFC" w:rsidP="00122BFC">
      <w:pPr>
        <w:pStyle w:val="Bibiographie"/>
      </w:pPr>
      <w:r w:rsidRPr="002B764A">
        <w:rPr>
          <w:b/>
          <w:bCs/>
        </w:rPr>
        <w:t xml:space="preserve">Boukacem-Zeghmouri C., Ben Romdhane M. &amp; ABDI A. (2008). </w:t>
      </w:r>
      <w:r w:rsidRPr="002B764A">
        <w:t>Le libre accès à l'information scientifique dans les pays en voie de développement : étude comparative de ses potentialités et réalités en Algérie et en Tunisie</w:t>
      </w:r>
      <w:r w:rsidRPr="002B764A">
        <w:rPr>
          <w:i/>
          <w:iCs/>
        </w:rPr>
        <w:t xml:space="preserve">. </w:t>
      </w:r>
      <w:r w:rsidRPr="002B764A">
        <w:t xml:space="preserve">Dans Actes du colloque international des sciences de l'information et de la communication - </w:t>
      </w:r>
      <w:r w:rsidRPr="002B764A">
        <w:rPr>
          <w:i/>
          <w:iCs/>
        </w:rPr>
        <w:t>Interagir et transmettre, informer et communiquer : quelles valeurs, quelle valorisation?</w:t>
      </w:r>
      <w:r w:rsidRPr="002B764A">
        <w:t xml:space="preserve">, Tunisie (2008). En ligne </w:t>
      </w:r>
      <w:r w:rsidRPr="002B764A">
        <w:tab/>
        <w:t xml:space="preserve"> </w:t>
      </w:r>
      <w:hyperlink r:id="rId27" w:history="1">
        <w:r w:rsidRPr="002B764A">
          <w:rPr>
            <w:rStyle w:val="Lienhypertexte"/>
            <w:rFonts w:ascii="Times New Roman" w:hAnsi="Times New Roman"/>
          </w:rPr>
          <w:t>http://archivesic.ccsd.cnrs.fr/sic_00276953</w:t>
        </w:r>
      </w:hyperlink>
      <w:r w:rsidRPr="002B764A">
        <w:t xml:space="preserve">  (consulté le 15/03/2014)</w:t>
      </w:r>
    </w:p>
    <w:p w:rsidR="00A63165" w:rsidRPr="0087426D" w:rsidRDefault="00A63165" w:rsidP="008457A9">
      <w:pPr>
        <w:pStyle w:val="Bibiographie"/>
      </w:pPr>
      <w:r w:rsidRPr="00A63165">
        <w:rPr>
          <w:b/>
          <w:bCs/>
        </w:rPr>
        <w:t>C</w:t>
      </w:r>
      <w:r w:rsidR="008457A9">
        <w:rPr>
          <w:b/>
          <w:bCs/>
        </w:rPr>
        <w:t>hanier</w:t>
      </w:r>
      <w:r w:rsidRPr="00A63165">
        <w:rPr>
          <w:b/>
          <w:bCs/>
        </w:rPr>
        <w:t>, Thierry (2005).</w:t>
      </w:r>
      <w:r w:rsidRPr="00A63165">
        <w:t xml:space="preserve"> Archives ouvertes et publication scientifique : Comment mettre en place l'accès libre aux résultats de la recherche?. </w:t>
      </w:r>
      <w:r w:rsidRPr="0087426D">
        <w:t>Paris : L'Harmattan, 2004, 186 p. ISBN : 2-7475-7695-7</w:t>
      </w:r>
    </w:p>
    <w:p w:rsidR="00BE53B0" w:rsidRPr="00307431" w:rsidRDefault="00BE53B0" w:rsidP="00BE53B0">
      <w:pPr>
        <w:pStyle w:val="Bibiographie"/>
        <w:rPr>
          <w:b/>
          <w:bCs/>
          <w:color w:val="0000FF"/>
        </w:rPr>
      </w:pPr>
      <w:r w:rsidRPr="0087426D">
        <w:rPr>
          <w:b/>
          <w:bCs/>
        </w:rPr>
        <w:t>Ch</w:t>
      </w:r>
      <w:r w:rsidR="008457A9" w:rsidRPr="0087426D">
        <w:rPr>
          <w:b/>
          <w:bCs/>
        </w:rPr>
        <w:t>ater Olfa, Ben Romdhane Mohamed</w:t>
      </w:r>
      <w:r w:rsidRPr="0087426D">
        <w:rPr>
          <w:b/>
          <w:bCs/>
        </w:rPr>
        <w:t xml:space="preserve"> (2013).</w:t>
      </w:r>
      <w:r w:rsidRPr="0087426D">
        <w:t xml:space="preserve"> </w:t>
      </w:r>
      <w:r w:rsidRPr="008457A9">
        <w:t>Nouveaux rôles du bibliothécaire dans le libre accès à l’IST. Open Access Week, Tunisie. Octobre 2013. En ligne : http://fr.slideshare.net/mbromdhane/nouveaux-rles-du-bibliothcaire-dans-le-libre-accs-list#</w:t>
      </w:r>
      <w:r w:rsidRPr="00307431">
        <w:rPr>
          <w:b/>
          <w:bCs/>
          <w:color w:val="0000FF"/>
        </w:rPr>
        <w:t xml:space="preserve"> </w:t>
      </w:r>
      <w:r w:rsidRPr="002B764A">
        <w:t>(consulté le 1</w:t>
      </w:r>
      <w:r>
        <w:t>4</w:t>
      </w:r>
      <w:r w:rsidRPr="002B764A">
        <w:t>/</w:t>
      </w:r>
      <w:r>
        <w:t>08</w:t>
      </w:r>
      <w:r w:rsidRPr="002B764A">
        <w:t>/2014)</w:t>
      </w:r>
    </w:p>
    <w:p w:rsidR="008457A9" w:rsidRPr="008457A9" w:rsidRDefault="008457A9" w:rsidP="008457A9">
      <w:pPr>
        <w:pStyle w:val="Bibiographie"/>
        <w:rPr>
          <w:b/>
          <w:bCs/>
        </w:rPr>
      </w:pPr>
      <w:r w:rsidRPr="008457A9">
        <w:rPr>
          <w:b/>
          <w:bCs/>
        </w:rPr>
        <w:t xml:space="preserve">Chater Olfa, Houissa Souheil (2013). </w:t>
      </w:r>
      <w:r w:rsidRPr="008457A9">
        <w:t>La fourniture des revues scientifiques arabes sur Internet entre l’édition électronique et l’accès ouvert. Dixième congrès scientifique du département de bibliothéconomie, de la documentation et des technologies de l’Information de l’Université du Caire. Caire, 15-16 Mai 2013 (Communication en langue arabe)</w:t>
      </w:r>
    </w:p>
    <w:p w:rsidR="00263F12" w:rsidRPr="008457A9" w:rsidRDefault="00263F12" w:rsidP="00800EAE">
      <w:pPr>
        <w:pStyle w:val="Bibiographie"/>
      </w:pPr>
      <w:r w:rsidRPr="0087426D">
        <w:rPr>
          <w:b/>
          <w:bCs/>
        </w:rPr>
        <w:t xml:space="preserve">Creaser </w:t>
      </w:r>
      <w:r w:rsidR="00800EAE" w:rsidRPr="0087426D">
        <w:rPr>
          <w:b/>
          <w:bCs/>
        </w:rPr>
        <w:t>Claire</w:t>
      </w:r>
      <w:r w:rsidRPr="0087426D">
        <w:rPr>
          <w:b/>
          <w:bCs/>
        </w:rPr>
        <w:t xml:space="preserve">, </w:t>
      </w:r>
      <w:r w:rsidR="00800EAE" w:rsidRPr="0087426D">
        <w:rPr>
          <w:b/>
          <w:bCs/>
        </w:rPr>
        <w:t xml:space="preserve">Fry </w:t>
      </w:r>
      <w:r w:rsidRPr="0087426D">
        <w:rPr>
          <w:b/>
          <w:bCs/>
        </w:rPr>
        <w:t xml:space="preserve">Jenny, </w:t>
      </w:r>
      <w:r w:rsidR="00800EAE" w:rsidRPr="0087426D">
        <w:rPr>
          <w:b/>
          <w:bCs/>
        </w:rPr>
        <w:t xml:space="preserve">Greenwood </w:t>
      </w:r>
      <w:r w:rsidRPr="0087426D">
        <w:rPr>
          <w:b/>
          <w:bCs/>
        </w:rPr>
        <w:t xml:space="preserve">Helen , </w:t>
      </w:r>
      <w:r w:rsidR="00800EAE" w:rsidRPr="0087426D">
        <w:rPr>
          <w:b/>
          <w:bCs/>
        </w:rPr>
        <w:t xml:space="preserve">Oppenheim </w:t>
      </w:r>
      <w:r w:rsidRPr="0087426D">
        <w:rPr>
          <w:b/>
          <w:bCs/>
        </w:rPr>
        <w:t xml:space="preserve">Charles , </w:t>
      </w:r>
      <w:r w:rsidR="00800EAE" w:rsidRPr="0087426D">
        <w:rPr>
          <w:b/>
          <w:bCs/>
        </w:rPr>
        <w:t xml:space="preserve">Probets </w:t>
      </w:r>
      <w:r w:rsidRPr="0087426D">
        <w:rPr>
          <w:b/>
          <w:bCs/>
        </w:rPr>
        <w:t xml:space="preserve">Steve , </w:t>
      </w:r>
      <w:r w:rsidR="00800EAE" w:rsidRPr="0087426D">
        <w:rPr>
          <w:b/>
          <w:bCs/>
        </w:rPr>
        <w:t xml:space="preserve">Spezi </w:t>
      </w:r>
      <w:r w:rsidRPr="0087426D">
        <w:rPr>
          <w:b/>
          <w:bCs/>
        </w:rPr>
        <w:t xml:space="preserve">Valérie &amp; </w:t>
      </w:r>
      <w:r w:rsidR="00800EAE" w:rsidRPr="0087426D">
        <w:rPr>
          <w:b/>
          <w:bCs/>
        </w:rPr>
        <w:t xml:space="preserve">White </w:t>
      </w:r>
      <w:r w:rsidRPr="0087426D">
        <w:rPr>
          <w:b/>
          <w:bCs/>
        </w:rPr>
        <w:t>Sonya (2010)</w:t>
      </w:r>
      <w:r w:rsidRPr="0087426D">
        <w:t xml:space="preserve">. </w:t>
      </w:r>
      <w:r w:rsidRPr="00263F12">
        <w:rPr>
          <w:lang w:val="en-US"/>
        </w:rPr>
        <w:t>Authors’ Awarenessand Attitudes Toward Open Access Repositories, New Review of Academic Librarianship, 16:S1, 145-161</w:t>
      </w:r>
      <w:r>
        <w:rPr>
          <w:lang w:val="en-US"/>
        </w:rPr>
        <w:t xml:space="preserve">. </w:t>
      </w:r>
      <w:r w:rsidRPr="00263F12">
        <w:t>En ligne</w:t>
      </w:r>
      <w:r w:rsidRPr="00263F12">
        <w:tab/>
        <w:t xml:space="preserve"> </w:t>
      </w:r>
      <w:r w:rsidRPr="008457A9">
        <w:rPr>
          <w:rFonts w:cs="Trebuchet MS"/>
          <w:color w:val="0000FF"/>
        </w:rPr>
        <w:t>http://dx.doi.org/10.1080/13614533.2010.518851</w:t>
      </w:r>
      <w:r w:rsidRPr="008457A9">
        <w:t xml:space="preserve"> (consulté le 09/04/2014)</w:t>
      </w:r>
    </w:p>
    <w:p w:rsidR="00122BFC" w:rsidRPr="002B764A" w:rsidRDefault="00122BFC" w:rsidP="00122BFC">
      <w:pPr>
        <w:pStyle w:val="Bibiographie"/>
      </w:pPr>
      <w:r w:rsidRPr="00263F12">
        <w:rPr>
          <w:b/>
          <w:bCs/>
        </w:rPr>
        <w:t>Gdoura Wahid (2009).</w:t>
      </w:r>
      <w:r w:rsidRPr="00263F12">
        <w:t xml:space="preserve"> </w:t>
      </w:r>
      <w:r w:rsidRPr="002B764A">
        <w:t>Le libre accès dans les universités arabes : opinions et pratiques des chercheurs et des éditeurs. Congrès IFLA, 23-27 Août 2009,  Milan, Italie. En ligne : URL</w:t>
      </w:r>
      <w:r w:rsidRPr="002B764A">
        <w:tab/>
        <w:t xml:space="preserve"> </w:t>
      </w:r>
      <w:hyperlink r:id="rId28" w:history="1">
        <w:r w:rsidRPr="002B764A">
          <w:rPr>
            <w:rStyle w:val="Lienhypertexte"/>
            <w:rFonts w:ascii="Times New Roman" w:hAnsi="Times New Roman"/>
          </w:rPr>
          <w:t>http://conference.ifla.org/past-wlic/2009/142-gdoura-fr.pdf</w:t>
        </w:r>
      </w:hyperlink>
      <w:r w:rsidRPr="002B764A">
        <w:t xml:space="preserve"> (consulté le 15/03/2014).</w:t>
      </w:r>
    </w:p>
    <w:p w:rsidR="00122BFC" w:rsidRDefault="00122BFC" w:rsidP="00122BFC">
      <w:pPr>
        <w:pStyle w:val="Bibiographie"/>
      </w:pPr>
      <w:r w:rsidRPr="002B764A">
        <w:rPr>
          <w:b/>
          <w:bCs/>
        </w:rPr>
        <w:t xml:space="preserve">Gdoura Wahid (2008). </w:t>
      </w:r>
      <w:r w:rsidRPr="002B764A">
        <w:t>Usages des archives ouvertes et des revues en libre accès : attitudes des chercheurs tunisiens. In « </w:t>
      </w:r>
      <w:r w:rsidRPr="002B764A">
        <w:rPr>
          <w:i/>
          <w:iCs/>
        </w:rPr>
        <w:t>Revue arabe des archives, documentation et d’information</w:t>
      </w:r>
      <w:r w:rsidRPr="002B764A">
        <w:t> », n° 23-24, 2008, pp 103-135.</w:t>
      </w:r>
    </w:p>
    <w:p w:rsidR="00697F6B" w:rsidRDefault="00697F6B" w:rsidP="00122BFC">
      <w:pPr>
        <w:pStyle w:val="Bibiographie"/>
      </w:pPr>
      <w:r>
        <w:rPr>
          <w:b/>
          <w:bCs/>
        </w:rPr>
        <w:lastRenderedPageBreak/>
        <w:t>Gdoura Wahid (2006).</w:t>
      </w:r>
      <w:r>
        <w:t xml:space="preserve"> La communication scientifique et l’accès ouvert à l’iunformation scientifique. Tunis, ALECSO, 2006. ISBN : 978 9973 15 203 9 (Livre en langue arabe)</w:t>
      </w:r>
    </w:p>
    <w:p w:rsidR="00033BAE" w:rsidRPr="002B764A" w:rsidRDefault="00033BAE" w:rsidP="00033BAE">
      <w:pPr>
        <w:pStyle w:val="Bibiographie"/>
      </w:pPr>
      <w:r>
        <w:rPr>
          <w:b/>
          <w:bCs/>
        </w:rPr>
        <w:t>Mkadmi Abderrazak, Ben Romdhane Mohamed et Hachicha Sami (2010).</w:t>
      </w:r>
      <w:r>
        <w:t xml:space="preserve"> Lecture numérique : impact du genre et de la discipline scientifique sur l’usage du web 2 .0. Colloque France-Maghreb « les médias et les mémoires de demain », Toulon 9 et 10 décembre 2010. En ligne </w:t>
      </w:r>
      <w:hyperlink r:id="rId29" w:history="1">
        <w:r w:rsidRPr="00A91946">
          <w:rPr>
            <w:rStyle w:val="Lienhypertexte"/>
          </w:rPr>
          <w:t>http://archivesic.ccsd.cnrs.fr/docs/00/64/05/74/PDF/ArticleToulonMkadmi_BenRomdhane_HachichaVF.pdf</w:t>
        </w:r>
      </w:hyperlink>
      <w:r>
        <w:t xml:space="preserve">  (Consulté le 08/07/2014)</w:t>
      </w:r>
    </w:p>
    <w:p w:rsidR="00122BFC" w:rsidRPr="002B764A" w:rsidRDefault="00122BFC" w:rsidP="00122BFC">
      <w:pPr>
        <w:pStyle w:val="Bibiographie"/>
      </w:pPr>
      <w:r w:rsidRPr="00122BFC">
        <w:rPr>
          <w:b/>
          <w:bCs/>
          <w:lang w:val="en-US"/>
        </w:rPr>
        <w:t xml:space="preserve">Rosemary Russell &amp; Michael Day (2010) </w:t>
      </w:r>
      <w:r w:rsidRPr="00122BFC">
        <w:rPr>
          <w:lang w:val="en-US"/>
        </w:rPr>
        <w:t xml:space="preserve">Institutional Repository Interaction With Research Users: A Review of Current Practice. </w:t>
      </w:r>
      <w:r w:rsidRPr="002B764A">
        <w:t>In “</w:t>
      </w:r>
      <w:r w:rsidRPr="002B764A">
        <w:rPr>
          <w:i/>
          <w:iCs/>
        </w:rPr>
        <w:t>New Review of Academic Librarianship</w:t>
      </w:r>
      <w:r w:rsidRPr="002B764A">
        <w:t xml:space="preserve">”, 16:S1, 116-13. </w:t>
      </w:r>
    </w:p>
    <w:tbl>
      <w:tblPr>
        <w:tblW w:w="5010" w:type="pct"/>
        <w:tblCellSpacing w:w="0" w:type="dxa"/>
        <w:tblCellMar>
          <w:left w:w="0" w:type="dxa"/>
          <w:right w:w="0" w:type="dxa"/>
        </w:tblCellMar>
        <w:tblLook w:val="04A0"/>
      </w:tblPr>
      <w:tblGrid>
        <w:gridCol w:w="6798"/>
        <w:gridCol w:w="20"/>
      </w:tblGrid>
      <w:tr w:rsidR="00122BFC" w:rsidTr="00122BFC">
        <w:trPr>
          <w:tblCellSpacing w:w="0" w:type="dxa"/>
        </w:trPr>
        <w:tc>
          <w:tcPr>
            <w:tcW w:w="4985" w:type="pct"/>
            <w:vAlign w:val="center"/>
            <w:hideMark/>
          </w:tcPr>
          <w:p w:rsidR="00BE53B0" w:rsidRPr="00307431" w:rsidRDefault="00BE53B0" w:rsidP="00BE53B0">
            <w:pPr>
              <w:pStyle w:val="Bibiographie"/>
              <w:rPr>
                <w:b/>
                <w:bCs/>
                <w:color w:val="0000FF"/>
              </w:rPr>
            </w:pPr>
            <w:r w:rsidRPr="008457A9">
              <w:rPr>
                <w:b/>
                <w:bCs/>
              </w:rPr>
              <w:t>Sacco Laurent (2011)</w:t>
            </w:r>
            <w:r w:rsidRPr="008457A9">
              <w:t>. arXiv, l'archive scientifique mondialement célèbre, a 20 ans ! In : Futura-Sciences, Aout 2011. En ligne</w:t>
            </w:r>
            <w:r w:rsidRPr="008457A9">
              <w:rPr>
                <w:b/>
                <w:bCs/>
              </w:rPr>
              <w:t> :</w:t>
            </w:r>
            <w:r w:rsidRPr="00307431">
              <w:rPr>
                <w:b/>
                <w:bCs/>
                <w:color w:val="0000FF"/>
              </w:rPr>
              <w:t xml:space="preserve"> </w:t>
            </w:r>
            <w:hyperlink r:id="rId30" w:anchor="comments" w:history="1">
              <w:r w:rsidRPr="008457A9">
                <w:rPr>
                  <w:rStyle w:val="Lienhypertexte"/>
                </w:rPr>
                <w:t>http://www.futura-sciences.com/magazines/matiere/infos/actu/d/physique-arxiv-archive-scientifique-mondialement-celebre-20-ans-32920/#comments</w:t>
              </w:r>
            </w:hyperlink>
            <w:r w:rsidRPr="00307431">
              <w:rPr>
                <w:b/>
                <w:bCs/>
                <w:color w:val="0000FF"/>
              </w:rPr>
              <w:t xml:space="preserve"> </w:t>
            </w:r>
            <w:r w:rsidRPr="002B764A">
              <w:t xml:space="preserve">(consulté le </w:t>
            </w:r>
            <w:r>
              <w:t>14</w:t>
            </w:r>
            <w:r w:rsidRPr="002B764A">
              <w:t>/0</w:t>
            </w:r>
            <w:r>
              <w:t>8</w:t>
            </w:r>
            <w:r w:rsidRPr="002B764A">
              <w:t>/2014)</w:t>
            </w:r>
          </w:p>
          <w:p w:rsidR="00122BFC" w:rsidRDefault="00122BFC" w:rsidP="00122BFC">
            <w:pPr>
              <w:pStyle w:val="Bibiographie"/>
            </w:pPr>
            <w:r w:rsidRPr="0087426D">
              <w:rPr>
                <w:b/>
                <w:bCs/>
                <w:lang w:val="en-US"/>
              </w:rPr>
              <w:t>Swan, Alma (2006). </w:t>
            </w:r>
            <w:r w:rsidRPr="00122BFC">
              <w:rPr>
                <w:lang w:val="en-US"/>
              </w:rPr>
              <w:t>The culture of Open Access: researchers’ views and responses. In, Jacobs, Neil (ed.) </w:t>
            </w:r>
            <w:r w:rsidRPr="00122BFC">
              <w:rPr>
                <w:i/>
                <w:iCs/>
                <w:lang w:val="en-US"/>
              </w:rPr>
              <w:t>Open Access: Key Strategic, Technical and Economic Aspects.</w:t>
            </w:r>
            <w:r w:rsidRPr="00122BFC">
              <w:rPr>
                <w:lang w:val="en-US"/>
              </w:rPr>
              <w:t xml:space="preserve"> , Chandos. </w:t>
            </w:r>
            <w:r w:rsidRPr="002B764A">
              <w:t xml:space="preserve">En ligne </w:t>
            </w:r>
            <w:hyperlink r:id="rId31" w:history="1">
              <w:r w:rsidRPr="002B764A">
                <w:rPr>
                  <w:rStyle w:val="Lienhypertexte"/>
                  <w:rFonts w:ascii="Times New Roman" w:hAnsi="Times New Roman"/>
                </w:rPr>
                <w:t>http://eprints.soton.ac.uk/262428/1/asj7.pdf</w:t>
              </w:r>
            </w:hyperlink>
            <w:r w:rsidRPr="002B764A">
              <w:t xml:space="preserve"> (consulté le 05/04/2014)</w:t>
            </w:r>
          </w:p>
          <w:p w:rsidR="00BE53B0" w:rsidRPr="0087426D" w:rsidRDefault="00BE53B0" w:rsidP="00C21C43">
            <w:pPr>
              <w:pStyle w:val="Bibiographie"/>
              <w:bidi/>
              <w:jc w:val="left"/>
              <w:rPr>
                <w:sz w:val="24"/>
                <w:szCs w:val="24"/>
              </w:rPr>
            </w:pPr>
          </w:p>
        </w:tc>
        <w:tc>
          <w:tcPr>
            <w:tcW w:w="15" w:type="pct"/>
            <w:vAlign w:val="center"/>
            <w:hideMark/>
          </w:tcPr>
          <w:p w:rsidR="00122BFC" w:rsidRDefault="00122BFC" w:rsidP="00122BFC">
            <w:pPr>
              <w:pStyle w:val="Bibiographie"/>
              <w:rPr>
                <w:sz w:val="24"/>
                <w:szCs w:val="24"/>
              </w:rPr>
            </w:pPr>
          </w:p>
        </w:tc>
      </w:tr>
    </w:tbl>
    <w:p w:rsidR="00122BFC" w:rsidRPr="00122BFC" w:rsidRDefault="00122BFC" w:rsidP="000A011E">
      <w:pPr>
        <w:pStyle w:val="Titre1"/>
        <w:numPr>
          <w:ilvl w:val="0"/>
          <w:numId w:val="0"/>
        </w:numPr>
        <w:tabs>
          <w:tab w:val="left" w:pos="1510"/>
        </w:tabs>
      </w:pPr>
    </w:p>
    <w:sectPr w:rsidR="00122BFC" w:rsidRPr="00122BFC" w:rsidSect="00246531">
      <w:type w:val="continuous"/>
      <w:pgSz w:w="9072" w:h="13608"/>
      <w:pgMar w:top="1134" w:right="1134" w:bottom="1134" w:left="1134" w:header="567" w:footer="567" w:gutter="0"/>
      <w:pgNumType w:start="1"/>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808" w:rsidRDefault="00140808">
      <w:r>
        <w:separator/>
      </w:r>
    </w:p>
  </w:endnote>
  <w:endnote w:type="continuationSeparator" w:id="1">
    <w:p w:rsidR="00140808" w:rsidRDefault="00140808">
      <w:r>
        <w:continuationSeparator/>
      </w:r>
    </w:p>
  </w:endnote>
</w:endnotes>
</file>

<file path=word/fontTable.xml><?xml version="1.0" encoding="utf-8"?>
<w:fonts xmlns:r="http://schemas.openxmlformats.org/officeDocument/2006/relationships" xmlns:w="http://schemas.openxmlformats.org/wordprocessingml/2006/main">
  <w:font w:name="Bodoni MT">
    <w:panose1 w:val="020706030806060202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E5" w:rsidRDefault="00C543DB">
    <w:pPr>
      <w:pStyle w:val="Pieddepage"/>
    </w:pPr>
    <w:r>
      <w:rPr>
        <w:rStyle w:val="Numrodepage"/>
      </w:rPr>
      <w:fldChar w:fldCharType="begin"/>
    </w:r>
    <w:r w:rsidR="00DB52E5">
      <w:rPr>
        <w:rStyle w:val="Numrodepage"/>
      </w:rPr>
      <w:instrText xml:space="preserve"> </w:instrText>
    </w:r>
    <w:r w:rsidR="00FD5213">
      <w:rPr>
        <w:rStyle w:val="Numrodepage"/>
      </w:rPr>
      <w:instrText>PAGE</w:instrText>
    </w:r>
    <w:r w:rsidR="00DB52E5">
      <w:rPr>
        <w:rStyle w:val="Numrodepage"/>
      </w:rPr>
      <w:instrText xml:space="preserve"> </w:instrText>
    </w:r>
    <w:r>
      <w:rPr>
        <w:rStyle w:val="Numrodepage"/>
      </w:rPr>
      <w:fldChar w:fldCharType="separate"/>
    </w:r>
    <w:r w:rsidR="00DF7B32">
      <w:rPr>
        <w:rStyle w:val="Numrodepage"/>
        <w:noProof/>
      </w:rPr>
      <w:t>14</w:t>
    </w:r>
    <w:r>
      <w:rPr>
        <w:rStyle w:val="Numrodepage"/>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E5" w:rsidRDefault="00C543DB">
    <w:pPr>
      <w:jc w:val="right"/>
    </w:pPr>
    <w:r>
      <w:fldChar w:fldCharType="begin"/>
    </w:r>
    <w:r w:rsidR="00DB52E5">
      <w:instrText xml:space="preserve"> </w:instrText>
    </w:r>
    <w:r w:rsidR="00FD5213">
      <w:instrText>PAGE</w:instrText>
    </w:r>
    <w:r w:rsidR="00DB52E5">
      <w:instrText xml:space="preserve"> </w:instrText>
    </w:r>
    <w:r>
      <w:fldChar w:fldCharType="separate"/>
    </w:r>
    <w:r w:rsidR="00DF7B32">
      <w:rPr>
        <w:noProof/>
      </w:rPr>
      <w:t>15</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E5" w:rsidRDefault="00C543DB">
    <w:pPr>
      <w:pStyle w:val="Pieddepage"/>
      <w:jc w:val="right"/>
    </w:pPr>
    <w:r>
      <w:rPr>
        <w:rStyle w:val="Numrodepage"/>
      </w:rPr>
      <w:fldChar w:fldCharType="begin"/>
    </w:r>
    <w:r w:rsidR="00DB52E5">
      <w:rPr>
        <w:rStyle w:val="Numrodepage"/>
      </w:rPr>
      <w:instrText xml:space="preserve"> </w:instrText>
    </w:r>
    <w:r w:rsidR="00FD5213">
      <w:rPr>
        <w:rStyle w:val="Numrodepage"/>
      </w:rPr>
      <w:instrText>PAGE</w:instrText>
    </w:r>
    <w:r w:rsidR="00DB52E5">
      <w:rPr>
        <w:rStyle w:val="Numrodepage"/>
      </w:rPr>
      <w:instrText xml:space="preserve"> </w:instrText>
    </w:r>
    <w:r>
      <w:rPr>
        <w:rStyle w:val="Numrodepage"/>
      </w:rPr>
      <w:fldChar w:fldCharType="separate"/>
    </w:r>
    <w:r w:rsidR="003C64D9">
      <w:rPr>
        <w:rStyle w:val="Numrodepage"/>
        <w:noProof/>
      </w:rPr>
      <w:t>1</w:t>
    </w:r>
    <w:r>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808" w:rsidRDefault="00140808">
      <w:r>
        <w:separator/>
      </w:r>
    </w:p>
  </w:footnote>
  <w:footnote w:type="continuationSeparator" w:id="1">
    <w:p w:rsidR="00140808" w:rsidRDefault="00140808">
      <w:r>
        <w:continuationSeparator/>
      </w:r>
    </w:p>
  </w:footnote>
  <w:footnote w:id="2">
    <w:p w:rsidR="00D964FE" w:rsidRPr="000A4252" w:rsidRDefault="00D964FE" w:rsidP="00B1521A">
      <w:pPr>
        <w:pStyle w:val="Pieddepage"/>
      </w:pPr>
      <w:r>
        <w:rPr>
          <w:rStyle w:val="Appelnotedebasdep"/>
        </w:rPr>
        <w:footnoteRef/>
      </w:r>
      <w:r w:rsidRPr="00C0768E">
        <w:t xml:space="preserve"> </w:t>
      </w:r>
      <w:r>
        <w:t xml:space="preserve">Plusieurs pays adoptent le libre accès aux résultats de la recherche dans des lois et exigent que les recherches financées  par des fonds publics soient accessibles en Open Access. </w:t>
      </w:r>
    </w:p>
  </w:footnote>
  <w:footnote w:id="3">
    <w:p w:rsidR="00B1521A" w:rsidRPr="00B82D82" w:rsidRDefault="00B1521A" w:rsidP="00B82D82">
      <w:pPr>
        <w:pStyle w:val="Pieddepage"/>
      </w:pPr>
      <w:r>
        <w:rPr>
          <w:rStyle w:val="Appelnotedebasdep"/>
        </w:rPr>
        <w:footnoteRef/>
      </w:r>
      <w:r>
        <w:t xml:space="preserve"> Le nombre des entrepôts d’archives ouvertes dans les pays arabes recensé dans les répertoires internationales est de vingt dont douze seulement sont accessibles (Ben Romdhane  et Ouerfelli, 2012)</w:t>
      </w:r>
      <w:r w:rsidR="003F3D25">
        <w:t xml:space="preserve"> alors que le n</w:t>
      </w:r>
      <w:r w:rsidR="00BE53B0">
        <w:t xml:space="preserve">ombre des revues en libre accès a évolué de </w:t>
      </w:r>
      <w:r w:rsidR="003F3D25">
        <w:t xml:space="preserve">65 </w:t>
      </w:r>
      <w:r w:rsidR="00BE53B0">
        <w:t xml:space="preserve">revues </w:t>
      </w:r>
      <w:r w:rsidR="003F3D25">
        <w:t xml:space="preserve">(Gdoura 2009) </w:t>
      </w:r>
      <w:r w:rsidR="00BE53B0">
        <w:t xml:space="preserve">à </w:t>
      </w:r>
      <w:r w:rsidR="00BE53B0" w:rsidRPr="00B82D82">
        <w:t>411 revues provenant de 15 pays arabe (Chater et Houissa, 2013)</w:t>
      </w:r>
    </w:p>
  </w:footnote>
  <w:footnote w:id="4">
    <w:p w:rsidR="00194B87" w:rsidRDefault="00194B87" w:rsidP="002A6B1B">
      <w:pPr>
        <w:pStyle w:val="Pieddepage"/>
      </w:pPr>
      <w:r>
        <w:rPr>
          <w:rStyle w:val="Appelnotedebasdep"/>
        </w:rPr>
        <w:footnoteRef/>
      </w:r>
      <w:r>
        <w:t xml:space="preserve"> L’Université de la Manouba est l’une des 13 universités tunisiennes réparties sur tout le territoire et l’une des 6 universités du grand Tunis. Elle compte 14 établissements dans diverses disciplines scientifiques avec 23 297 étudiants et 1728 enseignants-chercheurs (statistiques de 2012-2013, source : site de l’UMA </w:t>
      </w:r>
      <w:hyperlink r:id="rId1" w:history="1">
        <w:r w:rsidRPr="00347393">
          <w:rPr>
            <w:rStyle w:val="Lienhypertexte"/>
          </w:rPr>
          <w:t>www.uma.rnu.tn</w:t>
        </w:r>
      </w:hyperlink>
      <w:r>
        <w:t>)</w:t>
      </w:r>
    </w:p>
  </w:footnote>
  <w:footnote w:id="5">
    <w:p w:rsidR="00BE53B0" w:rsidRDefault="00BE53B0">
      <w:pPr>
        <w:pStyle w:val="Notedebasdepage"/>
      </w:pPr>
      <w:r>
        <w:rPr>
          <w:rStyle w:val="Appelnotedebasdep"/>
        </w:rPr>
        <w:footnoteRef/>
      </w:r>
      <w:r>
        <w:t xml:space="preserve"> Le questionnaire final est en ligne à l’adresse : </w:t>
      </w:r>
      <w:hyperlink r:id="rId2" w:history="1">
        <w:r w:rsidRPr="00E311AB">
          <w:rPr>
            <w:rStyle w:val="Lienhypertexte"/>
          </w:rPr>
          <w:t>https://docs.google.com/forms/d/1GUVRj92vyGEUBXAG9CjhGL36p5m40VN3el9f4h-YEf0/viewform</w:t>
        </w:r>
      </w:hyperlink>
      <w:r>
        <w:t xml:space="preserve"> </w:t>
      </w:r>
    </w:p>
  </w:footnote>
  <w:footnote w:id="6">
    <w:p w:rsidR="00D579EA" w:rsidRDefault="00D579EA">
      <w:pPr>
        <w:pStyle w:val="Notedebasdepage"/>
      </w:pPr>
      <w:r>
        <w:rPr>
          <w:rStyle w:val="Appelnotedebasdep"/>
        </w:rPr>
        <w:footnoteRef/>
      </w:r>
      <w:r>
        <w:t xml:space="preserve"> </w:t>
      </w:r>
      <w:r w:rsidRPr="00610205">
        <w:t>http://arxiv.org/</w:t>
      </w:r>
    </w:p>
  </w:footnote>
  <w:footnote w:id="7">
    <w:p w:rsidR="00E936EB" w:rsidRDefault="00E936EB" w:rsidP="00645E3A">
      <w:pPr>
        <w:pStyle w:val="Notedebasdepage"/>
      </w:pPr>
      <w:r>
        <w:rPr>
          <w:rStyle w:val="Appelnotedebasdep"/>
        </w:rPr>
        <w:footnoteRef/>
      </w:r>
      <w:r>
        <w:t xml:space="preserve"> Il est à noter que ces enquêtes datent de 2005 et 2006 et que la situation a beaucoup changé dans ces pays depuis cette date</w:t>
      </w:r>
      <w:r w:rsidR="00F046EC">
        <w:t xml:space="preserve"> surtout avec le développement </w:t>
      </w:r>
      <w:r w:rsidR="00645E3A">
        <w:t>des politiques Open Access claires par la pluparts des institutions de recherche occidentales et l</w:t>
      </w:r>
      <w:r w:rsidR="00F046EC">
        <w:t xml:space="preserve">’adoption des mandats </w:t>
      </w:r>
      <w:r w:rsidR="00645E3A">
        <w:t>Open Access qui ont le mérite de changer ces chiffres vers la hausse.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E5" w:rsidRDefault="003459B2" w:rsidP="003459B2">
    <w:pPr>
      <w:tabs>
        <w:tab w:val="right" w:pos="6521"/>
      </w:tabs>
      <w:rPr>
        <w:i/>
        <w:iCs/>
        <w:sz w:val="18"/>
      </w:rPr>
    </w:pPr>
    <w:r>
      <w:rPr>
        <w:i/>
        <w:iCs/>
        <w:sz w:val="18"/>
      </w:rPr>
      <w:t>Thématique</w:t>
    </w:r>
    <w:r w:rsidR="00DB52E5">
      <w:rPr>
        <w:i/>
        <w:iCs/>
        <w:sz w:val="18"/>
      </w:rPr>
      <w:tab/>
    </w:r>
    <w:r w:rsidRPr="003459B2">
      <w:rPr>
        <w:i/>
        <w:iCs/>
        <w:sz w:val="18"/>
      </w:rPr>
      <w:t>CILA 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E5" w:rsidRDefault="00150F1F">
    <w:pPr>
      <w:tabs>
        <w:tab w:val="center" w:pos="3686"/>
        <w:tab w:val="right" w:pos="7513"/>
      </w:tabs>
      <w:jc w:val="right"/>
      <w:rPr>
        <w:b/>
        <w:bCs/>
        <w:i/>
        <w:iCs/>
        <w:sz w:val="18"/>
      </w:rPr>
    </w:pPr>
    <w:r>
      <w:rPr>
        <w:b/>
        <w:bCs/>
        <w:i/>
        <w:iCs/>
        <w:sz w:val="18"/>
      </w:rPr>
      <w:t>Attitudes de l’enseignant-chercheur envers le libre accès à l’ IST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F106B"/>
    <w:multiLevelType w:val="hybridMultilevel"/>
    <w:tmpl w:val="749C26E2"/>
    <w:lvl w:ilvl="0" w:tplc="123CF4FE">
      <w:numFmt w:val="bullet"/>
      <w:lvlText w:val="-"/>
      <w:lvlJc w:val="left"/>
      <w:pPr>
        <w:ind w:left="720" w:hanging="360"/>
      </w:pPr>
      <w:rPr>
        <w:rFonts w:ascii="Bodoni MT" w:eastAsia="Times" w:hAnsi="Bodoni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07D54FA"/>
    <w:multiLevelType w:val="multilevel"/>
    <w:tmpl w:val="94E0F06A"/>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7B2B75C5"/>
    <w:multiLevelType w:val="hybridMultilevel"/>
    <w:tmpl w:val="CD8E452E"/>
    <w:lvl w:ilvl="0" w:tplc="FF7E3E96">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mirrorMargins/>
  <w:activeWritingStyle w:appName="MSWord" w:lang="fr-FR" w:vendorID="65" w:dllVersion="514" w:checkStyle="1"/>
  <w:activeWritingStyle w:appName="MSWord" w:lang="en-GB" w:vendorID="8" w:dllVersion="513" w:checkStyle="1"/>
  <w:activeWritingStyle w:appName="MSWord" w:lang="en-US" w:vendorID="8" w:dllVersion="513" w:checkStyle="1"/>
  <w:activeWritingStyle w:appName="MSWord" w:lang="fr-FR" w:vendorID="9" w:dllVersion="512" w:checkStyle="1"/>
  <w:activeWritingStyle w:appName="MSWord" w:lang="ar-SA" w:vendorID="4" w:dllVersion="512" w:checkStyle="1"/>
  <w:attachedTemplate r:id="rId1"/>
  <w:stylePaneFormatFilter w:val="3F01"/>
  <w:stylePaneSortMethod w:val="000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0"/>
    <w:footnote w:id="1"/>
  </w:footnotePr>
  <w:endnotePr>
    <w:endnote w:id="0"/>
    <w:endnote w:id="1"/>
  </w:endnotePr>
  <w:compat/>
  <w:docVars>
    <w:docVar w:name="EN_Doc_Font_List_Name" w:val="GaramondTimes Helvetica"/>
    <w:docVar w:name="EN_Lib_Name_List_Name" w:val="11REF-IHM-BIB"/>
    <w:docVar w:name="EN_Main_Body_Style_Name" w:val="Habilitation 2"/>
  </w:docVars>
  <w:rsids>
    <w:rsidRoot w:val="009A2B84"/>
    <w:rsid w:val="0000201A"/>
    <w:rsid w:val="00027E3A"/>
    <w:rsid w:val="00033BAE"/>
    <w:rsid w:val="000401FE"/>
    <w:rsid w:val="0005025F"/>
    <w:rsid w:val="00052093"/>
    <w:rsid w:val="0005464E"/>
    <w:rsid w:val="00054689"/>
    <w:rsid w:val="000628B5"/>
    <w:rsid w:val="00077D56"/>
    <w:rsid w:val="00077FF6"/>
    <w:rsid w:val="000A011E"/>
    <w:rsid w:val="000B2562"/>
    <w:rsid w:val="000B25CB"/>
    <w:rsid w:val="000B44F9"/>
    <w:rsid w:val="000B4B54"/>
    <w:rsid w:val="000C1D66"/>
    <w:rsid w:val="000F218A"/>
    <w:rsid w:val="00106578"/>
    <w:rsid w:val="001144ED"/>
    <w:rsid w:val="00114976"/>
    <w:rsid w:val="00114CBD"/>
    <w:rsid w:val="00114F0A"/>
    <w:rsid w:val="00122BFC"/>
    <w:rsid w:val="0012461F"/>
    <w:rsid w:val="001314DA"/>
    <w:rsid w:val="001407AC"/>
    <w:rsid w:val="00140808"/>
    <w:rsid w:val="00150F1F"/>
    <w:rsid w:val="00151822"/>
    <w:rsid w:val="00151D71"/>
    <w:rsid w:val="0016157C"/>
    <w:rsid w:val="00187E6C"/>
    <w:rsid w:val="00193A90"/>
    <w:rsid w:val="00194B87"/>
    <w:rsid w:val="001B02D0"/>
    <w:rsid w:val="001B0375"/>
    <w:rsid w:val="001D590E"/>
    <w:rsid w:val="001F085F"/>
    <w:rsid w:val="001F3D8E"/>
    <w:rsid w:val="00220DA1"/>
    <w:rsid w:val="002246D5"/>
    <w:rsid w:val="00235AA7"/>
    <w:rsid w:val="00246531"/>
    <w:rsid w:val="00263F12"/>
    <w:rsid w:val="0029321E"/>
    <w:rsid w:val="00293DBD"/>
    <w:rsid w:val="002A0C36"/>
    <w:rsid w:val="002A6B1B"/>
    <w:rsid w:val="00311544"/>
    <w:rsid w:val="003116E8"/>
    <w:rsid w:val="0031566C"/>
    <w:rsid w:val="00321DED"/>
    <w:rsid w:val="00324984"/>
    <w:rsid w:val="003252FF"/>
    <w:rsid w:val="00327187"/>
    <w:rsid w:val="00331C56"/>
    <w:rsid w:val="003459B2"/>
    <w:rsid w:val="003477EB"/>
    <w:rsid w:val="00381A2E"/>
    <w:rsid w:val="00381D2B"/>
    <w:rsid w:val="003917D2"/>
    <w:rsid w:val="003A11DD"/>
    <w:rsid w:val="003C3784"/>
    <w:rsid w:val="003C64D9"/>
    <w:rsid w:val="003D0310"/>
    <w:rsid w:val="003E49B6"/>
    <w:rsid w:val="003F3360"/>
    <w:rsid w:val="003F3D25"/>
    <w:rsid w:val="00400E00"/>
    <w:rsid w:val="00402A2C"/>
    <w:rsid w:val="004133FC"/>
    <w:rsid w:val="00413CE1"/>
    <w:rsid w:val="00413F5B"/>
    <w:rsid w:val="0042658E"/>
    <w:rsid w:val="004440FE"/>
    <w:rsid w:val="004472D3"/>
    <w:rsid w:val="004536FA"/>
    <w:rsid w:val="00455E79"/>
    <w:rsid w:val="00473EE6"/>
    <w:rsid w:val="00494374"/>
    <w:rsid w:val="004B1254"/>
    <w:rsid w:val="004B2DA2"/>
    <w:rsid w:val="004B7BB4"/>
    <w:rsid w:val="004C45AD"/>
    <w:rsid w:val="004C5A59"/>
    <w:rsid w:val="004D356C"/>
    <w:rsid w:val="004E160C"/>
    <w:rsid w:val="004E1AED"/>
    <w:rsid w:val="00502384"/>
    <w:rsid w:val="00507214"/>
    <w:rsid w:val="00521C7C"/>
    <w:rsid w:val="0052232A"/>
    <w:rsid w:val="0054038E"/>
    <w:rsid w:val="005910CD"/>
    <w:rsid w:val="005A4F43"/>
    <w:rsid w:val="005B75DF"/>
    <w:rsid w:val="005C36AB"/>
    <w:rsid w:val="005D0E5C"/>
    <w:rsid w:val="005E657F"/>
    <w:rsid w:val="005F4031"/>
    <w:rsid w:val="00613912"/>
    <w:rsid w:val="00640B93"/>
    <w:rsid w:val="006433F0"/>
    <w:rsid w:val="00645E3A"/>
    <w:rsid w:val="00645F2D"/>
    <w:rsid w:val="00671926"/>
    <w:rsid w:val="0067398B"/>
    <w:rsid w:val="006777C4"/>
    <w:rsid w:val="00680789"/>
    <w:rsid w:val="00696094"/>
    <w:rsid w:val="00697F6B"/>
    <w:rsid w:val="006A38AE"/>
    <w:rsid w:val="006B15C8"/>
    <w:rsid w:val="006D06C4"/>
    <w:rsid w:val="006E320D"/>
    <w:rsid w:val="006E7EA9"/>
    <w:rsid w:val="006F1106"/>
    <w:rsid w:val="006F1383"/>
    <w:rsid w:val="00711440"/>
    <w:rsid w:val="00720007"/>
    <w:rsid w:val="007211B4"/>
    <w:rsid w:val="00726AB7"/>
    <w:rsid w:val="007303CE"/>
    <w:rsid w:val="00746A2C"/>
    <w:rsid w:val="007510A9"/>
    <w:rsid w:val="00762B8D"/>
    <w:rsid w:val="00770143"/>
    <w:rsid w:val="007730DB"/>
    <w:rsid w:val="007736E2"/>
    <w:rsid w:val="0077752E"/>
    <w:rsid w:val="007A63DA"/>
    <w:rsid w:val="007C2CBB"/>
    <w:rsid w:val="007E3D55"/>
    <w:rsid w:val="00800EAE"/>
    <w:rsid w:val="00812382"/>
    <w:rsid w:val="008457A9"/>
    <w:rsid w:val="00846F28"/>
    <w:rsid w:val="00855A05"/>
    <w:rsid w:val="0085689C"/>
    <w:rsid w:val="00866782"/>
    <w:rsid w:val="0087426D"/>
    <w:rsid w:val="00875754"/>
    <w:rsid w:val="008A2CB1"/>
    <w:rsid w:val="008E1C03"/>
    <w:rsid w:val="008F2648"/>
    <w:rsid w:val="008F5285"/>
    <w:rsid w:val="00900C0F"/>
    <w:rsid w:val="009078F0"/>
    <w:rsid w:val="00922914"/>
    <w:rsid w:val="009325FC"/>
    <w:rsid w:val="009455FA"/>
    <w:rsid w:val="00951D6B"/>
    <w:rsid w:val="009533F2"/>
    <w:rsid w:val="00980D41"/>
    <w:rsid w:val="00987586"/>
    <w:rsid w:val="009A2B84"/>
    <w:rsid w:val="009A57CD"/>
    <w:rsid w:val="009A7162"/>
    <w:rsid w:val="009B28E9"/>
    <w:rsid w:val="009B41B1"/>
    <w:rsid w:val="009E7542"/>
    <w:rsid w:val="009E7588"/>
    <w:rsid w:val="009F50D1"/>
    <w:rsid w:val="009F51FF"/>
    <w:rsid w:val="00A00A1E"/>
    <w:rsid w:val="00A076FA"/>
    <w:rsid w:val="00A141B8"/>
    <w:rsid w:val="00A202BD"/>
    <w:rsid w:val="00A22CE7"/>
    <w:rsid w:val="00A373F4"/>
    <w:rsid w:val="00A44BA3"/>
    <w:rsid w:val="00A61541"/>
    <w:rsid w:val="00A63165"/>
    <w:rsid w:val="00A77675"/>
    <w:rsid w:val="00A806A1"/>
    <w:rsid w:val="00A90812"/>
    <w:rsid w:val="00AA2C50"/>
    <w:rsid w:val="00AB54B9"/>
    <w:rsid w:val="00AC27E0"/>
    <w:rsid w:val="00AD6F45"/>
    <w:rsid w:val="00B1521A"/>
    <w:rsid w:val="00B22BA3"/>
    <w:rsid w:val="00B22F70"/>
    <w:rsid w:val="00B31C0D"/>
    <w:rsid w:val="00B43878"/>
    <w:rsid w:val="00B5085C"/>
    <w:rsid w:val="00B64DB0"/>
    <w:rsid w:val="00B82D82"/>
    <w:rsid w:val="00B973A4"/>
    <w:rsid w:val="00BA7A02"/>
    <w:rsid w:val="00BD758D"/>
    <w:rsid w:val="00BE53B0"/>
    <w:rsid w:val="00BF783B"/>
    <w:rsid w:val="00C10B8B"/>
    <w:rsid w:val="00C21C43"/>
    <w:rsid w:val="00C27A0D"/>
    <w:rsid w:val="00C35A33"/>
    <w:rsid w:val="00C36AC2"/>
    <w:rsid w:val="00C4097B"/>
    <w:rsid w:val="00C543DB"/>
    <w:rsid w:val="00C752AE"/>
    <w:rsid w:val="00C77C71"/>
    <w:rsid w:val="00C95816"/>
    <w:rsid w:val="00C96BD4"/>
    <w:rsid w:val="00C96F6D"/>
    <w:rsid w:val="00CA4580"/>
    <w:rsid w:val="00CB07B1"/>
    <w:rsid w:val="00CD45BB"/>
    <w:rsid w:val="00CD7B72"/>
    <w:rsid w:val="00CE5ABA"/>
    <w:rsid w:val="00CE6023"/>
    <w:rsid w:val="00CF0FA8"/>
    <w:rsid w:val="00D00AD8"/>
    <w:rsid w:val="00D139C6"/>
    <w:rsid w:val="00D13E85"/>
    <w:rsid w:val="00D4202F"/>
    <w:rsid w:val="00D453A1"/>
    <w:rsid w:val="00D579EA"/>
    <w:rsid w:val="00D63BC9"/>
    <w:rsid w:val="00D66DBE"/>
    <w:rsid w:val="00D964FE"/>
    <w:rsid w:val="00DA5811"/>
    <w:rsid w:val="00DB30C2"/>
    <w:rsid w:val="00DB52E5"/>
    <w:rsid w:val="00DF17D5"/>
    <w:rsid w:val="00DF5250"/>
    <w:rsid w:val="00DF57C8"/>
    <w:rsid w:val="00DF5866"/>
    <w:rsid w:val="00DF7B32"/>
    <w:rsid w:val="00E314DA"/>
    <w:rsid w:val="00E6231E"/>
    <w:rsid w:val="00E65170"/>
    <w:rsid w:val="00E818B5"/>
    <w:rsid w:val="00E87FCE"/>
    <w:rsid w:val="00E936EB"/>
    <w:rsid w:val="00EA3FDE"/>
    <w:rsid w:val="00EB417B"/>
    <w:rsid w:val="00F046EC"/>
    <w:rsid w:val="00F0537A"/>
    <w:rsid w:val="00F16341"/>
    <w:rsid w:val="00F211FD"/>
    <w:rsid w:val="00F35208"/>
    <w:rsid w:val="00F47F82"/>
    <w:rsid w:val="00F57FD2"/>
    <w:rsid w:val="00F85637"/>
    <w:rsid w:val="00FA3DD4"/>
    <w:rsid w:val="00FB0F39"/>
    <w:rsid w:val="00FC3B8D"/>
    <w:rsid w:val="00FD4793"/>
    <w:rsid w:val="00FD5213"/>
    <w:rsid w:val="00FD629C"/>
    <w:rsid w:val="00FE2062"/>
    <w:rsid w:val="00FF3C90"/>
  </w:rsids>
  <m:mathPr>
    <m:mathFont m:val="Cambria Math"/>
    <m:brkBin m:val="before"/>
    <m:brkBinSub m:val="--"/>
    <m:smallFrac m:val="off"/>
    <m:dispDef m:val="off"/>
    <m:lMargin m:val="0"/>
    <m:rMargin m:val="0"/>
    <m:defJc m:val="centerGroup"/>
    <m:wrapRight/>
    <m:intLim m:val="subSup"/>
    <m:naryLim m:val="subSup"/>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06578"/>
    <w:pPr>
      <w:spacing w:line="220" w:lineRule="exact"/>
      <w:jc w:val="both"/>
    </w:pPr>
    <w:rPr>
      <w:rFonts w:ascii="Garamond" w:hAnsi="Garamond"/>
    </w:rPr>
  </w:style>
  <w:style w:type="paragraph" w:styleId="Titre1">
    <w:name w:val="heading 1"/>
    <w:basedOn w:val="Normal"/>
    <w:next w:val="Paragraphe"/>
    <w:rsid w:val="00246531"/>
    <w:pPr>
      <w:keepNext/>
      <w:numPr>
        <w:numId w:val="1"/>
      </w:numPr>
      <w:spacing w:before="240" w:after="120"/>
      <w:jc w:val="left"/>
      <w:outlineLvl w:val="0"/>
    </w:pPr>
    <w:rPr>
      <w:rFonts w:ascii="Bodoni MT" w:hAnsi="Bodoni MT"/>
      <w:b/>
      <w:kern w:val="28"/>
      <w:sz w:val="24"/>
    </w:rPr>
  </w:style>
  <w:style w:type="paragraph" w:styleId="Titre2">
    <w:name w:val="heading 2"/>
    <w:basedOn w:val="Normal"/>
    <w:next w:val="Paragraphe"/>
    <w:qFormat/>
    <w:rsid w:val="00246531"/>
    <w:pPr>
      <w:keepNext/>
      <w:numPr>
        <w:ilvl w:val="1"/>
        <w:numId w:val="1"/>
      </w:numPr>
      <w:tabs>
        <w:tab w:val="clear" w:pos="576"/>
        <w:tab w:val="num" w:pos="397"/>
      </w:tabs>
      <w:spacing w:before="120"/>
      <w:ind w:left="578" w:hanging="578"/>
      <w:jc w:val="left"/>
      <w:outlineLvl w:val="1"/>
    </w:pPr>
    <w:rPr>
      <w:rFonts w:ascii="Bodoni MT" w:hAnsi="Bodoni MT"/>
      <w:b/>
      <w:sz w:val="22"/>
    </w:rPr>
  </w:style>
  <w:style w:type="paragraph" w:styleId="Titre3">
    <w:name w:val="heading 3"/>
    <w:basedOn w:val="Normal"/>
    <w:next w:val="Paragraphe"/>
    <w:qFormat/>
    <w:rsid w:val="0016157C"/>
    <w:pPr>
      <w:keepNext/>
      <w:spacing w:before="120"/>
      <w:outlineLvl w:val="2"/>
    </w:pPr>
    <w:rPr>
      <w:rFonts w:ascii="Bodoni MT" w:hAnsi="Bodoni MT"/>
      <w:b/>
      <w:i/>
      <w:sz w:val="22"/>
    </w:rPr>
  </w:style>
  <w:style w:type="paragraph" w:styleId="Titre4">
    <w:name w:val="heading 4"/>
    <w:basedOn w:val="Normal"/>
    <w:next w:val="Paragraphe"/>
    <w:qFormat/>
    <w:rsid w:val="00B64DB0"/>
    <w:pPr>
      <w:keepNext/>
      <w:spacing w:before="120"/>
      <w:outlineLvl w:val="3"/>
    </w:pPr>
    <w:rPr>
      <w:rFonts w:ascii="Bodoni MT" w:hAnsi="Bodoni MT"/>
      <w:b/>
      <w:sz w:val="22"/>
    </w:rPr>
  </w:style>
  <w:style w:type="paragraph" w:styleId="Titre5">
    <w:name w:val="heading 5"/>
    <w:basedOn w:val="Normal"/>
    <w:next w:val="Normal"/>
    <w:qFormat/>
    <w:rsid w:val="00106578"/>
    <w:pPr>
      <w:keepNext/>
      <w:spacing w:before="240" w:after="60"/>
      <w:outlineLvl w:val="4"/>
    </w:pPr>
    <w:rPr>
      <w:b/>
      <w:sz w:val="22"/>
    </w:rPr>
  </w:style>
  <w:style w:type="paragraph" w:styleId="Titre6">
    <w:name w:val="heading 6"/>
    <w:basedOn w:val="Normal"/>
    <w:next w:val="Normal"/>
    <w:qFormat/>
    <w:rsid w:val="00106578"/>
    <w:pPr>
      <w:spacing w:before="240" w:after="60"/>
      <w:outlineLvl w:val="5"/>
    </w:pPr>
    <w:rPr>
      <w:i/>
      <w:sz w:val="22"/>
    </w:rPr>
  </w:style>
  <w:style w:type="paragraph" w:styleId="Titre7">
    <w:name w:val="heading 7"/>
    <w:basedOn w:val="Normal"/>
    <w:next w:val="Normal"/>
    <w:qFormat/>
    <w:rsid w:val="00106578"/>
    <w:pPr>
      <w:spacing w:before="240" w:after="60"/>
      <w:outlineLvl w:val="6"/>
    </w:pPr>
    <w:rPr>
      <w:i/>
    </w:rPr>
  </w:style>
  <w:style w:type="paragraph" w:styleId="Titre8">
    <w:name w:val="heading 8"/>
    <w:basedOn w:val="Normal"/>
    <w:next w:val="Normal"/>
    <w:qFormat/>
    <w:rsid w:val="00106578"/>
    <w:pPr>
      <w:spacing w:before="240" w:after="60"/>
      <w:outlineLvl w:val="7"/>
    </w:pPr>
    <w:rPr>
      <w:i/>
    </w:rPr>
  </w:style>
  <w:style w:type="paragraph" w:styleId="Titre9">
    <w:name w:val="heading 9"/>
    <w:basedOn w:val="Normal"/>
    <w:next w:val="Normal"/>
    <w:qFormat/>
    <w:rsid w:val="00106578"/>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rsid w:val="00A00A1E"/>
    <w:pPr>
      <w:spacing w:before="80" w:line="280" w:lineRule="exact"/>
    </w:pPr>
    <w:rPr>
      <w:rFonts w:ascii="Bodoni MT" w:hAnsi="Bodoni MT"/>
      <w:sz w:val="22"/>
    </w:rPr>
  </w:style>
  <w:style w:type="paragraph" w:styleId="Lgende">
    <w:name w:val="caption"/>
    <w:basedOn w:val="Normal"/>
    <w:next w:val="Normal"/>
    <w:qFormat/>
    <w:rsid w:val="00B64DB0"/>
    <w:pPr>
      <w:spacing w:after="120"/>
      <w:jc w:val="center"/>
    </w:pPr>
    <w:rPr>
      <w:rFonts w:ascii="Bodoni MT" w:eastAsia="Times New Roman" w:hAnsi="Bodoni MT"/>
      <w:i/>
    </w:rPr>
  </w:style>
  <w:style w:type="paragraph" w:styleId="En-tte">
    <w:name w:val="header"/>
    <w:basedOn w:val="Normal"/>
    <w:rsid w:val="00106578"/>
    <w:pPr>
      <w:tabs>
        <w:tab w:val="center" w:pos="4536"/>
        <w:tab w:val="right" w:pos="9072"/>
      </w:tabs>
    </w:pPr>
  </w:style>
  <w:style w:type="paragraph" w:styleId="Pieddepage">
    <w:name w:val="footer"/>
    <w:basedOn w:val="Normal"/>
    <w:rsid w:val="00106578"/>
    <w:pPr>
      <w:tabs>
        <w:tab w:val="center" w:pos="4536"/>
        <w:tab w:val="right" w:pos="9072"/>
      </w:tabs>
    </w:pPr>
  </w:style>
  <w:style w:type="paragraph" w:styleId="Notedebasdepage">
    <w:name w:val="footnote text"/>
    <w:basedOn w:val="Normal"/>
    <w:link w:val="NotedebasdepageCar"/>
    <w:autoRedefine/>
    <w:uiPriority w:val="99"/>
    <w:semiHidden/>
    <w:rsid w:val="00106578"/>
    <w:pPr>
      <w:spacing w:line="240" w:lineRule="auto"/>
      <w:jc w:val="left"/>
    </w:pPr>
    <w:rPr>
      <w:rFonts w:eastAsia="Times New Roman"/>
      <w:sz w:val="18"/>
    </w:rPr>
  </w:style>
  <w:style w:type="character" w:styleId="Numrodepage">
    <w:name w:val="page number"/>
    <w:basedOn w:val="Policepardfaut"/>
    <w:rsid w:val="00106578"/>
  </w:style>
  <w:style w:type="paragraph" w:customStyle="1" w:styleId="Illustration">
    <w:name w:val="Illustration"/>
    <w:basedOn w:val="Paragraphe"/>
    <w:rsid w:val="00106578"/>
    <w:pPr>
      <w:spacing w:before="120" w:after="120"/>
      <w:jc w:val="center"/>
    </w:pPr>
  </w:style>
  <w:style w:type="paragraph" w:customStyle="1" w:styleId="Remerciement">
    <w:name w:val="Remerciement"/>
    <w:basedOn w:val="Paragraphe"/>
    <w:rsid w:val="00106578"/>
    <w:rPr>
      <w:i/>
    </w:rPr>
  </w:style>
  <w:style w:type="paragraph" w:customStyle="1" w:styleId="Code">
    <w:name w:val="Code"/>
    <w:basedOn w:val="Normal"/>
    <w:rsid w:val="00106578"/>
    <w:pPr>
      <w:pBdr>
        <w:top w:val="single" w:sz="6" w:space="1" w:color="auto"/>
        <w:left w:val="single" w:sz="6" w:space="4" w:color="auto"/>
        <w:bottom w:val="single" w:sz="6" w:space="1" w:color="auto"/>
        <w:right w:val="single" w:sz="6" w:space="4" w:color="auto"/>
      </w:pBdr>
      <w:ind w:left="851"/>
      <w:jc w:val="left"/>
    </w:pPr>
    <w:rPr>
      <w:rFonts w:ascii="Courier New" w:eastAsia="Times New Roman" w:hAnsi="Courier New"/>
      <w:sz w:val="16"/>
    </w:rPr>
  </w:style>
  <w:style w:type="paragraph" w:customStyle="1" w:styleId="Bibiographie">
    <w:name w:val="Bibiographie"/>
    <w:basedOn w:val="Normal"/>
    <w:rsid w:val="00B64DB0"/>
    <w:pPr>
      <w:spacing w:before="120"/>
      <w:ind w:left="454" w:hanging="454"/>
    </w:pPr>
    <w:rPr>
      <w:rFonts w:ascii="Bodoni MT" w:hAnsi="Bodoni MT"/>
    </w:rPr>
  </w:style>
  <w:style w:type="character" w:styleId="Lienhypertexte">
    <w:name w:val="Hyperlink"/>
    <w:basedOn w:val="Policepardfaut"/>
    <w:rsid w:val="00106578"/>
    <w:rPr>
      <w:color w:val="0000FF"/>
      <w:u w:val="single"/>
    </w:rPr>
  </w:style>
  <w:style w:type="paragraph" w:styleId="Titre">
    <w:name w:val="Title"/>
    <w:basedOn w:val="Normal"/>
    <w:next w:val="Sous-titre"/>
    <w:qFormat/>
    <w:rsid w:val="0016157C"/>
    <w:pPr>
      <w:spacing w:before="720" w:after="240" w:line="320" w:lineRule="exact"/>
      <w:jc w:val="center"/>
    </w:pPr>
    <w:rPr>
      <w:rFonts w:ascii="Bodoni MT" w:hAnsi="Bodoni MT"/>
      <w:b/>
      <w:sz w:val="40"/>
    </w:rPr>
  </w:style>
  <w:style w:type="paragraph" w:styleId="Sous-titre">
    <w:name w:val="Subtitle"/>
    <w:basedOn w:val="Normal"/>
    <w:next w:val="Auteurs"/>
    <w:qFormat/>
    <w:rsid w:val="0016157C"/>
    <w:pPr>
      <w:spacing w:before="120" w:after="240"/>
      <w:jc w:val="center"/>
    </w:pPr>
    <w:rPr>
      <w:rFonts w:ascii="Bodoni MT" w:hAnsi="Bodoni MT"/>
      <w:b/>
      <w:i/>
      <w:sz w:val="28"/>
    </w:rPr>
  </w:style>
  <w:style w:type="paragraph" w:customStyle="1" w:styleId="Auteurs">
    <w:name w:val="Auteurs"/>
    <w:basedOn w:val="Sous-titre"/>
    <w:next w:val="Affiliation"/>
    <w:rsid w:val="00106578"/>
    <w:pPr>
      <w:spacing w:before="240" w:after="120"/>
    </w:pPr>
    <w:rPr>
      <w:i w:val="0"/>
      <w:sz w:val="20"/>
    </w:rPr>
  </w:style>
  <w:style w:type="paragraph" w:customStyle="1" w:styleId="Affiliation">
    <w:name w:val="Affiliation"/>
    <w:basedOn w:val="Sous-titre"/>
    <w:next w:val="Rsum"/>
    <w:rsid w:val="0016157C"/>
    <w:pPr>
      <w:spacing w:after="0"/>
      <w:jc w:val="right"/>
    </w:pPr>
    <w:rPr>
      <w:b w:val="0"/>
      <w:i w:val="0"/>
      <w:sz w:val="22"/>
    </w:rPr>
  </w:style>
  <w:style w:type="paragraph" w:customStyle="1" w:styleId="Rsum">
    <w:name w:val="Résumé"/>
    <w:basedOn w:val="Paragraphe"/>
    <w:next w:val="Motsclefs"/>
    <w:rsid w:val="00B64DB0"/>
    <w:pPr>
      <w:spacing w:before="480"/>
    </w:pPr>
  </w:style>
  <w:style w:type="paragraph" w:customStyle="1" w:styleId="Motsclefs">
    <w:name w:val="Mots clefs"/>
    <w:basedOn w:val="Paragraphe"/>
    <w:next w:val="Paragraphe"/>
    <w:rsid w:val="00B64DB0"/>
    <w:pPr>
      <w:spacing w:after="240"/>
    </w:pPr>
  </w:style>
  <w:style w:type="character" w:customStyle="1" w:styleId="eudoraheader">
    <w:name w:val="eudoraheader"/>
    <w:basedOn w:val="Policepardfaut"/>
    <w:rsid w:val="00106578"/>
  </w:style>
  <w:style w:type="character" w:styleId="Appelnotedebasdep">
    <w:name w:val="footnote reference"/>
    <w:basedOn w:val="Policepardfaut"/>
    <w:uiPriority w:val="99"/>
    <w:rsid w:val="00A61541"/>
    <w:rPr>
      <w:vertAlign w:val="superscript"/>
    </w:rPr>
  </w:style>
  <w:style w:type="paragraph" w:customStyle="1" w:styleId="StyleRsumGras">
    <w:name w:val="Style Résumé + Gras"/>
    <w:basedOn w:val="Rsum"/>
    <w:rsid w:val="00B64DB0"/>
    <w:rPr>
      <w:b/>
      <w:bCs/>
    </w:rPr>
  </w:style>
  <w:style w:type="paragraph" w:customStyle="1" w:styleId="StyleRsumAvant025cmAvant6pt">
    <w:name w:val="Style Résumé + Avant : 025 cm Avant : 6 pt"/>
    <w:basedOn w:val="Rsum"/>
    <w:rsid w:val="00B64DB0"/>
    <w:pPr>
      <w:spacing w:before="120"/>
      <w:ind w:left="142"/>
    </w:pPr>
    <w:rPr>
      <w:rFonts w:eastAsia="Times New Roman"/>
    </w:rPr>
  </w:style>
  <w:style w:type="paragraph" w:customStyle="1" w:styleId="StyleMotsclefsGras">
    <w:name w:val="Style Mots clefs + Gras"/>
    <w:basedOn w:val="Motsclefs"/>
    <w:rsid w:val="00B64DB0"/>
    <w:rPr>
      <w:b/>
      <w:bCs/>
    </w:rPr>
  </w:style>
  <w:style w:type="paragraph" w:customStyle="1" w:styleId="StyleLgendeGrasNonItalique">
    <w:name w:val="Style Légende + Gras Non Italique"/>
    <w:basedOn w:val="Lgende"/>
    <w:rsid w:val="0016157C"/>
    <w:rPr>
      <w:b/>
      <w:bCs/>
      <w:i w:val="0"/>
      <w:iCs/>
      <w:sz w:val="22"/>
    </w:rPr>
  </w:style>
  <w:style w:type="character" w:customStyle="1" w:styleId="NotedebasdepageCar">
    <w:name w:val="Note de bas de page Car"/>
    <w:basedOn w:val="Policepardfaut"/>
    <w:link w:val="Notedebasdepage"/>
    <w:uiPriority w:val="99"/>
    <w:semiHidden/>
    <w:rsid w:val="00D964FE"/>
    <w:rPr>
      <w:rFonts w:ascii="Garamond" w:eastAsia="Times New Roman" w:hAnsi="Garamond"/>
      <w:sz w:val="18"/>
    </w:rPr>
  </w:style>
  <w:style w:type="table" w:styleId="Grilledutableau">
    <w:name w:val="Table Grid"/>
    <w:basedOn w:val="TableauNormal"/>
    <w:rsid w:val="003E49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72"/>
    <w:qFormat/>
    <w:rsid w:val="00645E3A"/>
    <w:pPr>
      <w:ind w:left="708"/>
    </w:pPr>
  </w:style>
  <w:style w:type="table" w:styleId="Contemporain">
    <w:name w:val="Table Contemporary"/>
    <w:basedOn w:val="TableauNormal"/>
    <w:rsid w:val="00762B8D"/>
    <w:pPr>
      <w:spacing w:line="220" w:lineRule="exact"/>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ffets3D2">
    <w:name w:val="Table 3D effects 2"/>
    <w:basedOn w:val="TableauNormal"/>
    <w:rsid w:val="00762B8D"/>
    <w:pPr>
      <w:spacing w:line="220" w:lineRule="exact"/>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Marquedecommentaire">
    <w:name w:val="annotation reference"/>
    <w:basedOn w:val="Policepardfaut"/>
    <w:rsid w:val="008E1C03"/>
    <w:rPr>
      <w:sz w:val="16"/>
      <w:szCs w:val="16"/>
    </w:rPr>
  </w:style>
  <w:style w:type="paragraph" w:styleId="Commentaire">
    <w:name w:val="annotation text"/>
    <w:basedOn w:val="Normal"/>
    <w:link w:val="CommentaireCar"/>
    <w:rsid w:val="008E1C03"/>
  </w:style>
  <w:style w:type="character" w:customStyle="1" w:styleId="CommentaireCar">
    <w:name w:val="Commentaire Car"/>
    <w:basedOn w:val="Policepardfaut"/>
    <w:link w:val="Commentaire"/>
    <w:rsid w:val="008E1C03"/>
    <w:rPr>
      <w:rFonts w:ascii="Garamond" w:hAnsi="Garamond"/>
    </w:rPr>
  </w:style>
  <w:style w:type="paragraph" w:styleId="Objetducommentaire">
    <w:name w:val="annotation subject"/>
    <w:basedOn w:val="Commentaire"/>
    <w:next w:val="Commentaire"/>
    <w:link w:val="ObjetducommentaireCar"/>
    <w:rsid w:val="008E1C03"/>
    <w:rPr>
      <w:b/>
      <w:bCs/>
    </w:rPr>
  </w:style>
  <w:style w:type="character" w:customStyle="1" w:styleId="ObjetducommentaireCar">
    <w:name w:val="Objet du commentaire Car"/>
    <w:basedOn w:val="CommentaireCar"/>
    <w:link w:val="Objetducommentaire"/>
    <w:rsid w:val="008E1C03"/>
    <w:rPr>
      <w:b/>
      <w:bCs/>
    </w:rPr>
  </w:style>
  <w:style w:type="paragraph" w:styleId="Textedebulles">
    <w:name w:val="Balloon Text"/>
    <w:basedOn w:val="Normal"/>
    <w:link w:val="TextedebullesCar"/>
    <w:rsid w:val="008E1C03"/>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8E1C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terolfa@gmail.com" TargetMode="Externa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archivesic.ccsd.cnrs.fr/sic_00829058" TargetMode="Externa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2.xml"/><Relationship Id="rId29" Type="http://schemas.openxmlformats.org/officeDocument/2006/relationships/hyperlink" Target="http://archivesic.ccsd.cnrs.fr/docs/00/64/05/74/PDF/ArticleToulonMkadmi_BenRomdhane_HachichaV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chart" Target="charts/chart5.xml"/><Relationship Id="rId28" Type="http://schemas.openxmlformats.org/officeDocument/2006/relationships/hyperlink" Target="http://conference.ifla.org/past-wlic/2009/142-gdoura-fr.pdf" TargetMode="External"/><Relationship Id="rId10" Type="http://schemas.openxmlformats.org/officeDocument/2006/relationships/header" Target="header1.xml"/><Relationship Id="rId19" Type="http://schemas.openxmlformats.org/officeDocument/2006/relationships/chart" Target="charts/chart1.xml"/><Relationship Id="rId31" Type="http://schemas.openxmlformats.org/officeDocument/2006/relationships/hyperlink" Target="http://eprints.soton.ac.uk/262428/1/asj7.pdf" TargetMode="External"/><Relationship Id="rId4" Type="http://schemas.openxmlformats.org/officeDocument/2006/relationships/settings" Target="settings.xml"/><Relationship Id="rId9" Type="http://schemas.openxmlformats.org/officeDocument/2006/relationships/hyperlink" Target="mailto:mbromdhane@yahoo.fr" TargetMode="External"/><Relationship Id="rId14" Type="http://schemas.openxmlformats.org/officeDocument/2006/relationships/footer" Target="footer3.xml"/><Relationship Id="rId22" Type="http://schemas.openxmlformats.org/officeDocument/2006/relationships/chart" Target="charts/chart4.xml"/><Relationship Id="rId27" Type="http://schemas.openxmlformats.org/officeDocument/2006/relationships/hyperlink" Target="http://archivesic.ccsd.cnrs.fr/sic_00276953" TargetMode="External"/><Relationship Id="rId30" Type="http://schemas.openxmlformats.org/officeDocument/2006/relationships/hyperlink" Target="http://www.futura-sciences.com/magazines/matiere/infos/actu/d/physique-arxiv-archive-scientifique-mondialement-celebre-20-ans-3292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google.com/forms/d/1GUVRj92vyGEUBXAG9CjhGL36p5m40VN3el9f4h-YEf0/viewform" TargetMode="External"/><Relationship Id="rId1" Type="http://schemas.openxmlformats.org/officeDocument/2006/relationships/hyperlink" Target="http://www.uma.rnu.t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es%20documents\articles\rihm01\FormatRIHM.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mohamed\Mes%20documents\Dropbox\personnel\colloques\2014\OpenAccess\ContributionISD\CommFinal\UMA-OA.xl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mohamed\Mes%20documents\Dropbox\personnel\colloques\2014\OpenAccess\ContributionISD\CommFinal\UMA-OA.xl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mohamed\Mes%20documents\Dropbox\personnel\colloques\2014\OpenAccess\ContributionISD\CommFinal\UMA-OA.xl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mohamed\Mes%20documents\Dropbox\personnel\colloques\2014\OpenAccess\ContributionISD\CommFinal\UMA-OA.xl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mohamed\Mes%20documents\Dropbox\personnel\colloques\2014\OpenAccess\ContributionISD\CommFinal\UMA-OA.xl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pivotSource>
    <c:name>[UMA-OA.xls.xlsx]Feuil3!Tableau croisé dynamique3</c:name>
    <c:fmtId val="15"/>
  </c:pivotSource>
  <c:chart>
    <c:autoTitleDeleted val="1"/>
    <c:pivotFmts>
      <c:pivotFmt>
        <c:idx val="0"/>
        <c:marker>
          <c:symbol val="none"/>
        </c:marker>
        <c:dLbl>
          <c:idx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c:spPr>
          <c:txPr>
            <a:bodyPr/>
            <a:lstStyle/>
            <a:p>
              <a:pPr>
                <a:defRPr/>
              </a:pPr>
              <a:endParaRPr lang="fr-FR"/>
            </a:p>
          </c:txPr>
          <c:dLblPos val="ctr"/>
          <c:showPercent val="1"/>
        </c:dLbl>
      </c:pivotFmt>
      <c:pivotFmt>
        <c:idx val="1"/>
        <c:marker>
          <c:symbol val="none"/>
        </c:marker>
        <c:dLbl>
          <c:idx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c:spPr>
          <c:txPr>
            <a:bodyPr/>
            <a:lstStyle/>
            <a:p>
              <a:pPr>
                <a:defRPr/>
              </a:pPr>
              <a:endParaRPr lang="fr-FR"/>
            </a:p>
          </c:txPr>
          <c:dLblPos val="ctr"/>
          <c:showPercent val="1"/>
        </c:dLbl>
      </c:pivotFmt>
    </c:pivotFmts>
    <c:view3D>
      <c:rotX val="30"/>
      <c:perspective val="30"/>
    </c:view3D>
    <c:plotArea>
      <c:layout/>
      <c:pie3DChart>
        <c:varyColors val="1"/>
        <c:ser>
          <c:idx val="0"/>
          <c:order val="0"/>
          <c:tx>
            <c:strRef>
              <c:f>Feuil3!$B$3</c:f>
              <c:strCache>
                <c:ptCount val="1"/>
                <c:pt idx="0">
                  <c:v>Total</c:v>
                </c:pt>
              </c:strCache>
            </c:strRef>
          </c:tx>
          <c:explosion val="25"/>
          <c:dLbls>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c:spPr>
            <c:txPr>
              <a:bodyPr/>
              <a:lstStyle/>
              <a:p>
                <a:pPr>
                  <a:defRPr/>
                </a:pPr>
                <a:endParaRPr lang="fr-FR"/>
              </a:p>
            </c:txPr>
            <c:dLblPos val="ctr"/>
            <c:showPercent val="1"/>
            <c:showLeaderLines val="1"/>
          </c:dLbls>
          <c:cat>
            <c:strRef>
              <c:f>Feuil3!$A$4:$A$6</c:f>
              <c:strCache>
                <c:ptCount val="2"/>
                <c:pt idx="0">
                  <c:v>non</c:v>
                </c:pt>
                <c:pt idx="1">
                  <c:v>oui</c:v>
                </c:pt>
              </c:strCache>
            </c:strRef>
          </c:cat>
          <c:val>
            <c:numRef>
              <c:f>Feuil3!$B$4:$B$6</c:f>
              <c:numCache>
                <c:formatCode>General</c:formatCode>
                <c:ptCount val="2"/>
                <c:pt idx="0">
                  <c:v>62</c:v>
                </c:pt>
                <c:pt idx="1">
                  <c:v>41</c:v>
                </c:pt>
              </c:numCache>
            </c:numRef>
          </c:val>
        </c:ser>
      </c:pie3DChart>
    </c:plotArea>
    <c:legend>
      <c:legendPos val="r"/>
    </c:legend>
    <c:plotVisOnly val="1"/>
  </c:chart>
  <c:spPr>
    <a:gradFill>
      <a:gsLst>
        <a:gs pos="0">
          <a:srgbClr val="5E9EFF"/>
        </a:gs>
        <a:gs pos="39999">
          <a:srgbClr val="85C2FF"/>
        </a:gs>
        <a:gs pos="70000">
          <a:srgbClr val="C4D6EB"/>
        </a:gs>
        <a:gs pos="100000">
          <a:srgbClr val="FFEBFA"/>
        </a:gs>
      </a:gsLst>
      <a:lin ang="5400000" scaled="0"/>
    </a:gradFill>
    <a:ln w="12700">
      <a:solidFill>
        <a:schemeClr val="tx2"/>
      </a:solidFill>
    </a:ln>
    <a:effectLst>
      <a:innerShdw blurRad="317500" dist="88900" dir="13500000">
        <a:sysClr val="windowText" lastClr="000000">
          <a:alpha val="50000"/>
        </a:sysClr>
      </a:innerShdw>
    </a:effectLst>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33"/>
  <c:pivotSource>
    <c:name>[UMA-OA.xls.xlsx]36Xgenre!Tableau croisé dynamique7</c:name>
    <c:fmtId val="12"/>
  </c:pivotSource>
  <c:chart>
    <c:pivotFmts>
      <c:pivotFmt>
        <c:idx val="0"/>
      </c:pivotFmt>
      <c:pivotFmt>
        <c:idx val="1"/>
      </c:pivotFmt>
      <c:pivotFmt>
        <c:idx val="2"/>
        <c:marker>
          <c:symbol val="none"/>
        </c:marker>
      </c:pivotFmt>
      <c:pivotFmt>
        <c:idx val="3"/>
        <c:marker>
          <c:symbol val="none"/>
        </c:marker>
      </c:pivotFmt>
    </c:pivotFmts>
    <c:view3D>
      <c:perspective val="30"/>
    </c:view3D>
    <c:plotArea>
      <c:layout/>
      <c:bar3DChart>
        <c:barDir val="col"/>
        <c:grouping val="clustered"/>
        <c:ser>
          <c:idx val="0"/>
          <c:order val="0"/>
          <c:tx>
            <c:strRef>
              <c:f>'36Xgenre'!$B$3:$B$4</c:f>
              <c:strCache>
                <c:ptCount val="1"/>
                <c:pt idx="0">
                  <c:v>non</c:v>
                </c:pt>
              </c:strCache>
            </c:strRef>
          </c:tx>
          <c:cat>
            <c:strRef>
              <c:f>'36Xgenre'!$A$5:$A$7</c:f>
              <c:strCache>
                <c:ptCount val="2"/>
                <c:pt idx="0">
                  <c:v>Femme</c:v>
                </c:pt>
                <c:pt idx="1">
                  <c:v>Homme</c:v>
                </c:pt>
              </c:strCache>
            </c:strRef>
          </c:cat>
          <c:val>
            <c:numRef>
              <c:f>'36Xgenre'!$B$5:$B$7</c:f>
              <c:numCache>
                <c:formatCode>General</c:formatCode>
                <c:ptCount val="2"/>
                <c:pt idx="0">
                  <c:v>40</c:v>
                </c:pt>
                <c:pt idx="1">
                  <c:v>22</c:v>
                </c:pt>
              </c:numCache>
            </c:numRef>
          </c:val>
        </c:ser>
        <c:ser>
          <c:idx val="1"/>
          <c:order val="1"/>
          <c:tx>
            <c:strRef>
              <c:f>'36Xgenre'!$C$3:$C$4</c:f>
              <c:strCache>
                <c:ptCount val="1"/>
                <c:pt idx="0">
                  <c:v>oui</c:v>
                </c:pt>
              </c:strCache>
            </c:strRef>
          </c:tx>
          <c:cat>
            <c:strRef>
              <c:f>'36Xgenre'!$A$5:$A$7</c:f>
              <c:strCache>
                <c:ptCount val="2"/>
                <c:pt idx="0">
                  <c:v>Femme</c:v>
                </c:pt>
                <c:pt idx="1">
                  <c:v>Homme</c:v>
                </c:pt>
              </c:strCache>
            </c:strRef>
          </c:cat>
          <c:val>
            <c:numRef>
              <c:f>'36Xgenre'!$C$5:$C$7</c:f>
              <c:numCache>
                <c:formatCode>General</c:formatCode>
                <c:ptCount val="2"/>
                <c:pt idx="0">
                  <c:v>15</c:v>
                </c:pt>
                <c:pt idx="1">
                  <c:v>26</c:v>
                </c:pt>
              </c:numCache>
            </c:numRef>
          </c:val>
        </c:ser>
        <c:shape val="cylinder"/>
        <c:axId val="95755264"/>
        <c:axId val="106796160"/>
        <c:axId val="0"/>
      </c:bar3DChart>
      <c:catAx>
        <c:axId val="95755264"/>
        <c:scaling>
          <c:orientation val="minMax"/>
        </c:scaling>
        <c:axPos val="b"/>
        <c:tickLblPos val="nextTo"/>
        <c:crossAx val="106796160"/>
        <c:crosses val="autoZero"/>
        <c:auto val="1"/>
        <c:lblAlgn val="ctr"/>
        <c:lblOffset val="100"/>
      </c:catAx>
      <c:valAx>
        <c:axId val="106796160"/>
        <c:scaling>
          <c:orientation val="minMax"/>
        </c:scaling>
        <c:axPos val="l"/>
        <c:majorGridlines/>
        <c:numFmt formatCode="General" sourceLinked="1"/>
        <c:tickLblPos val="nextTo"/>
        <c:crossAx val="95755264"/>
        <c:crosses val="autoZero"/>
        <c:crossBetween val="between"/>
      </c:valAx>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33"/>
  <c:pivotSource>
    <c:name>[UMA-OA.xls.xlsx]36Xgrade!Tableau croisé dynamique8</c:name>
    <c:fmtId val="9"/>
  </c:pivotSource>
  <c:chart>
    <c:pivotFmts>
      <c:pivotFmt>
        <c:idx val="0"/>
      </c:pivotFmt>
      <c:pivotFmt>
        <c:idx val="1"/>
      </c:pivotFmt>
      <c:pivotFmt>
        <c:idx val="2"/>
        <c:marker>
          <c:symbol val="none"/>
        </c:marker>
      </c:pivotFmt>
      <c:pivotFmt>
        <c:idx val="3"/>
        <c:marker>
          <c:symbol val="none"/>
        </c:marker>
      </c:pivotFmt>
    </c:pivotFmts>
    <c:view3D>
      <c:rAngAx val="1"/>
    </c:view3D>
    <c:plotArea>
      <c:layout/>
      <c:bar3DChart>
        <c:barDir val="col"/>
        <c:grouping val="clustered"/>
        <c:ser>
          <c:idx val="0"/>
          <c:order val="0"/>
          <c:tx>
            <c:strRef>
              <c:f>'36Xgrade'!$B$3:$B$4</c:f>
              <c:strCache>
                <c:ptCount val="1"/>
                <c:pt idx="0">
                  <c:v>non</c:v>
                </c:pt>
              </c:strCache>
            </c:strRef>
          </c:tx>
          <c:cat>
            <c:strRef>
              <c:f>'36Xgrade'!$A$5:$A$11</c:f>
              <c:strCache>
                <c:ptCount val="6"/>
                <c:pt idx="0">
                  <c:v>Assistant</c:v>
                </c:pt>
                <c:pt idx="1">
                  <c:v>Autre</c:v>
                </c:pt>
                <c:pt idx="2">
                  <c:v>Maître assistant</c:v>
                </c:pt>
                <c:pt idx="3">
                  <c:v>Maître de conférences</c:v>
                </c:pt>
                <c:pt idx="4">
                  <c:v>Professeur</c:v>
                </c:pt>
                <c:pt idx="5">
                  <c:v>(vide)</c:v>
                </c:pt>
              </c:strCache>
            </c:strRef>
          </c:cat>
          <c:val>
            <c:numRef>
              <c:f>'36Xgrade'!$B$5:$B$11</c:f>
              <c:numCache>
                <c:formatCode>General</c:formatCode>
                <c:ptCount val="6"/>
                <c:pt idx="0">
                  <c:v>24</c:v>
                </c:pt>
                <c:pt idx="1">
                  <c:v>9</c:v>
                </c:pt>
                <c:pt idx="2">
                  <c:v>18</c:v>
                </c:pt>
                <c:pt idx="3">
                  <c:v>5</c:v>
                </c:pt>
                <c:pt idx="4">
                  <c:v>5</c:v>
                </c:pt>
              </c:numCache>
            </c:numRef>
          </c:val>
        </c:ser>
        <c:ser>
          <c:idx val="1"/>
          <c:order val="1"/>
          <c:tx>
            <c:strRef>
              <c:f>'36Xgrade'!$C$3:$C$4</c:f>
              <c:strCache>
                <c:ptCount val="1"/>
                <c:pt idx="0">
                  <c:v>oui</c:v>
                </c:pt>
              </c:strCache>
            </c:strRef>
          </c:tx>
          <c:cat>
            <c:strRef>
              <c:f>'36Xgrade'!$A$5:$A$11</c:f>
              <c:strCache>
                <c:ptCount val="6"/>
                <c:pt idx="0">
                  <c:v>Assistant</c:v>
                </c:pt>
                <c:pt idx="1">
                  <c:v>Autre</c:v>
                </c:pt>
                <c:pt idx="2">
                  <c:v>Maître assistant</c:v>
                </c:pt>
                <c:pt idx="3">
                  <c:v>Maître de conférences</c:v>
                </c:pt>
                <c:pt idx="4">
                  <c:v>Professeur</c:v>
                </c:pt>
                <c:pt idx="5">
                  <c:v>(vide)</c:v>
                </c:pt>
              </c:strCache>
            </c:strRef>
          </c:cat>
          <c:val>
            <c:numRef>
              <c:f>'36Xgrade'!$C$5:$C$11</c:f>
              <c:numCache>
                <c:formatCode>General</c:formatCode>
                <c:ptCount val="6"/>
                <c:pt idx="0">
                  <c:v>9</c:v>
                </c:pt>
                <c:pt idx="1">
                  <c:v>6</c:v>
                </c:pt>
                <c:pt idx="2">
                  <c:v>14</c:v>
                </c:pt>
                <c:pt idx="3">
                  <c:v>7</c:v>
                </c:pt>
                <c:pt idx="4">
                  <c:v>5</c:v>
                </c:pt>
              </c:numCache>
            </c:numRef>
          </c:val>
        </c:ser>
        <c:shape val="cylinder"/>
        <c:axId val="114972160"/>
        <c:axId val="114973696"/>
        <c:axId val="0"/>
      </c:bar3DChart>
      <c:catAx>
        <c:axId val="114972160"/>
        <c:scaling>
          <c:orientation val="minMax"/>
        </c:scaling>
        <c:axPos val="b"/>
        <c:tickLblPos val="nextTo"/>
        <c:crossAx val="114973696"/>
        <c:crosses val="autoZero"/>
        <c:auto val="1"/>
        <c:lblAlgn val="ctr"/>
        <c:lblOffset val="100"/>
      </c:catAx>
      <c:valAx>
        <c:axId val="114973696"/>
        <c:scaling>
          <c:orientation val="minMax"/>
        </c:scaling>
        <c:axPos val="l"/>
        <c:majorGridlines/>
        <c:numFmt formatCode="General" sourceLinked="1"/>
        <c:tickLblPos val="nextTo"/>
        <c:crossAx val="114972160"/>
        <c:crosses val="autoZero"/>
        <c:crossBetween val="between"/>
      </c:valAx>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style val="33"/>
  <c:pivotSource>
    <c:name>[UMA-OA.xls.xlsx]36Xage!Tableau croisé dynamique9</c:name>
    <c:fmtId val="12"/>
  </c:pivotSource>
  <c:chart>
    <c:pivotFmts>
      <c:pivotFmt>
        <c:idx val="0"/>
      </c:pivotFmt>
      <c:pivotFmt>
        <c:idx val="1"/>
      </c:pivotFmt>
      <c:pivotFmt>
        <c:idx val="2"/>
        <c:marker>
          <c:symbol val="none"/>
        </c:marker>
      </c:pivotFmt>
      <c:pivotFmt>
        <c:idx val="3"/>
        <c:marker>
          <c:symbol val="none"/>
        </c:marker>
      </c:pivotFmt>
    </c:pivotFmts>
    <c:view3D>
      <c:rAngAx val="1"/>
    </c:view3D>
    <c:plotArea>
      <c:layout/>
      <c:bar3DChart>
        <c:barDir val="bar"/>
        <c:grouping val="clustered"/>
        <c:ser>
          <c:idx val="0"/>
          <c:order val="0"/>
          <c:tx>
            <c:strRef>
              <c:f>'36Xage'!$B$3:$B$4</c:f>
              <c:strCache>
                <c:ptCount val="1"/>
                <c:pt idx="0">
                  <c:v>non</c:v>
                </c:pt>
              </c:strCache>
            </c:strRef>
          </c:tx>
          <c:cat>
            <c:strRef>
              <c:f>'36Xage'!$A$5:$A$9</c:f>
              <c:strCache>
                <c:ptCount val="4"/>
                <c:pt idx="0">
                  <c:v>Entre 31 et 40 ans</c:v>
                </c:pt>
                <c:pt idx="1">
                  <c:v>Entre 41 et 50 ans</c:v>
                </c:pt>
                <c:pt idx="2">
                  <c:v>Moins de 30 ans</c:v>
                </c:pt>
                <c:pt idx="3">
                  <c:v>Plus de 50 ans</c:v>
                </c:pt>
              </c:strCache>
            </c:strRef>
          </c:cat>
          <c:val>
            <c:numRef>
              <c:f>'36Xage'!$B$5:$B$9</c:f>
              <c:numCache>
                <c:formatCode>General</c:formatCode>
                <c:ptCount val="4"/>
                <c:pt idx="0">
                  <c:v>21</c:v>
                </c:pt>
                <c:pt idx="1">
                  <c:v>14</c:v>
                </c:pt>
                <c:pt idx="2">
                  <c:v>16</c:v>
                </c:pt>
                <c:pt idx="3">
                  <c:v>11</c:v>
                </c:pt>
              </c:numCache>
            </c:numRef>
          </c:val>
        </c:ser>
        <c:ser>
          <c:idx val="1"/>
          <c:order val="1"/>
          <c:tx>
            <c:strRef>
              <c:f>'36Xage'!$C$3:$C$4</c:f>
              <c:strCache>
                <c:ptCount val="1"/>
                <c:pt idx="0">
                  <c:v>oui</c:v>
                </c:pt>
              </c:strCache>
            </c:strRef>
          </c:tx>
          <c:cat>
            <c:strRef>
              <c:f>'36Xage'!$A$5:$A$9</c:f>
              <c:strCache>
                <c:ptCount val="4"/>
                <c:pt idx="0">
                  <c:v>Entre 31 et 40 ans</c:v>
                </c:pt>
                <c:pt idx="1">
                  <c:v>Entre 41 et 50 ans</c:v>
                </c:pt>
                <c:pt idx="2">
                  <c:v>Moins de 30 ans</c:v>
                </c:pt>
                <c:pt idx="3">
                  <c:v>Plus de 50 ans</c:v>
                </c:pt>
              </c:strCache>
            </c:strRef>
          </c:cat>
          <c:val>
            <c:numRef>
              <c:f>'36Xage'!$C$5:$C$9</c:f>
              <c:numCache>
                <c:formatCode>General</c:formatCode>
                <c:ptCount val="4"/>
                <c:pt idx="0">
                  <c:v>17</c:v>
                </c:pt>
                <c:pt idx="1">
                  <c:v>13</c:v>
                </c:pt>
                <c:pt idx="2">
                  <c:v>4</c:v>
                </c:pt>
                <c:pt idx="3">
                  <c:v>7</c:v>
                </c:pt>
              </c:numCache>
            </c:numRef>
          </c:val>
        </c:ser>
        <c:shape val="cylinder"/>
        <c:axId val="123481472"/>
        <c:axId val="124006784"/>
        <c:axId val="0"/>
      </c:bar3DChart>
      <c:catAx>
        <c:axId val="123481472"/>
        <c:scaling>
          <c:orientation val="minMax"/>
        </c:scaling>
        <c:axPos val="l"/>
        <c:tickLblPos val="nextTo"/>
        <c:crossAx val="124006784"/>
        <c:crosses val="autoZero"/>
        <c:auto val="1"/>
        <c:lblAlgn val="ctr"/>
        <c:lblOffset val="100"/>
      </c:catAx>
      <c:valAx>
        <c:axId val="124006784"/>
        <c:scaling>
          <c:orientation val="minMax"/>
        </c:scaling>
        <c:axPos val="b"/>
        <c:majorGridlines/>
        <c:numFmt formatCode="General" sourceLinked="1"/>
        <c:tickLblPos val="nextTo"/>
        <c:crossAx val="123481472"/>
        <c:crosses val="autoZero"/>
        <c:crossBetween val="between"/>
      </c:valAx>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style val="33"/>
  <c:pivotSource>
    <c:name>[UMA-OA.xls.xlsx]36Xdiscipline!Tableau croisé dynamique4</c:name>
    <c:fmtId val="-1"/>
  </c:pivotSource>
  <c:chart>
    <c:pivotFmts>
      <c:pivotFmt>
        <c:idx val="0"/>
        <c:dLbl>
          <c:idx val="0"/>
          <c:showVal val="1"/>
        </c:dLbl>
      </c:pivotFmt>
      <c:pivotFmt>
        <c:idx val="1"/>
        <c:dLbl>
          <c:idx val="0"/>
          <c:showVal val="1"/>
        </c:dLbl>
      </c:pivotFmt>
      <c:pivotFmt>
        <c:idx val="2"/>
        <c:marker>
          <c:symbol val="none"/>
        </c:marker>
        <c:dLbl>
          <c:idx val="0"/>
          <c:spPr/>
          <c:txPr>
            <a:bodyPr/>
            <a:lstStyle/>
            <a:p>
              <a:pPr>
                <a:defRPr/>
              </a:pPr>
              <a:endParaRPr lang="fr-FR"/>
            </a:p>
          </c:txPr>
          <c:showVal val="1"/>
        </c:dLbl>
      </c:pivotFmt>
      <c:pivotFmt>
        <c:idx val="3"/>
        <c:marker>
          <c:symbol val="none"/>
        </c:marker>
        <c:dLbl>
          <c:idx val="0"/>
          <c:spPr/>
          <c:txPr>
            <a:bodyPr/>
            <a:lstStyle/>
            <a:p>
              <a:pPr>
                <a:defRPr/>
              </a:pPr>
              <a:endParaRPr lang="fr-FR"/>
            </a:p>
          </c:txPr>
          <c:showVal val="1"/>
        </c:dLbl>
      </c:pivotFmt>
    </c:pivotFmts>
    <c:plotArea>
      <c:layout/>
      <c:barChart>
        <c:barDir val="col"/>
        <c:grouping val="clustered"/>
        <c:ser>
          <c:idx val="0"/>
          <c:order val="0"/>
          <c:tx>
            <c:strRef>
              <c:f>'36Xdiscipline'!$B$3:$B$4</c:f>
              <c:strCache>
                <c:ptCount val="1"/>
                <c:pt idx="0">
                  <c:v>non</c:v>
                </c:pt>
              </c:strCache>
            </c:strRef>
          </c:tx>
          <c:dLbls>
            <c:txPr>
              <a:bodyPr/>
              <a:lstStyle/>
              <a:p>
                <a:pPr>
                  <a:defRPr/>
                </a:pPr>
                <a:endParaRPr lang="fr-FR"/>
              </a:p>
            </c:txPr>
            <c:showVal val="1"/>
          </c:dLbls>
          <c:cat>
            <c:strRef>
              <c:f>'36Xdiscipline'!$A$5:$A$17</c:f>
              <c:strCache>
                <c:ptCount val="12"/>
                <c:pt idx="0">
                  <c:v>Art et design</c:v>
                </c:pt>
                <c:pt idx="1">
                  <c:v>Autre</c:v>
                </c:pt>
                <c:pt idx="2">
                  <c:v>Bibliothéconomie et science de l'information</c:v>
                </c:pt>
                <c:pt idx="3">
                  <c:v>Education physique</c:v>
                </c:pt>
                <c:pt idx="4">
                  <c:v>Histoire, Géographie</c:v>
                </c:pt>
                <c:pt idx="5">
                  <c:v>Linguistique, littérature</c:v>
                </c:pt>
                <c:pt idx="6">
                  <c:v>Multimédia</c:v>
                </c:pt>
                <c:pt idx="7">
                  <c:v>Presse et science de l'information</c:v>
                </c:pt>
                <c:pt idx="8">
                  <c:v>Sciences biologiques et médicales</c:v>
                </c:pt>
                <c:pt idx="9">
                  <c:v>Sciences économiques, commerce et gestion</c:v>
                </c:pt>
                <c:pt idx="10">
                  <c:v>Sciences et technologies</c:v>
                </c:pt>
                <c:pt idx="11">
                  <c:v>Sciences informatiques</c:v>
                </c:pt>
              </c:strCache>
            </c:strRef>
          </c:cat>
          <c:val>
            <c:numRef>
              <c:f>'36Xdiscipline'!$B$5:$B$17</c:f>
              <c:numCache>
                <c:formatCode>General</c:formatCode>
                <c:ptCount val="12"/>
                <c:pt idx="0">
                  <c:v>3</c:v>
                </c:pt>
                <c:pt idx="1">
                  <c:v>3</c:v>
                </c:pt>
                <c:pt idx="2">
                  <c:v>11</c:v>
                </c:pt>
                <c:pt idx="3">
                  <c:v>3</c:v>
                </c:pt>
                <c:pt idx="4">
                  <c:v>2</c:v>
                </c:pt>
                <c:pt idx="5">
                  <c:v>2</c:v>
                </c:pt>
                <c:pt idx="7">
                  <c:v>3</c:v>
                </c:pt>
                <c:pt idx="8">
                  <c:v>4</c:v>
                </c:pt>
                <c:pt idx="9">
                  <c:v>15</c:v>
                </c:pt>
                <c:pt idx="10">
                  <c:v>1</c:v>
                </c:pt>
                <c:pt idx="11">
                  <c:v>15</c:v>
                </c:pt>
              </c:numCache>
            </c:numRef>
          </c:val>
        </c:ser>
        <c:ser>
          <c:idx val="1"/>
          <c:order val="1"/>
          <c:tx>
            <c:strRef>
              <c:f>'36Xdiscipline'!$C$3:$C$4</c:f>
              <c:strCache>
                <c:ptCount val="1"/>
                <c:pt idx="0">
                  <c:v>oui</c:v>
                </c:pt>
              </c:strCache>
            </c:strRef>
          </c:tx>
          <c:dLbls>
            <c:txPr>
              <a:bodyPr/>
              <a:lstStyle/>
              <a:p>
                <a:pPr>
                  <a:defRPr/>
                </a:pPr>
                <a:endParaRPr lang="fr-FR"/>
              </a:p>
            </c:txPr>
            <c:showVal val="1"/>
          </c:dLbls>
          <c:cat>
            <c:strRef>
              <c:f>'36Xdiscipline'!$A$5:$A$17</c:f>
              <c:strCache>
                <c:ptCount val="12"/>
                <c:pt idx="0">
                  <c:v>Art et design</c:v>
                </c:pt>
                <c:pt idx="1">
                  <c:v>Autre</c:v>
                </c:pt>
                <c:pt idx="2">
                  <c:v>Bibliothéconomie et science de l'information</c:v>
                </c:pt>
                <c:pt idx="3">
                  <c:v>Education physique</c:v>
                </c:pt>
                <c:pt idx="4">
                  <c:v>Histoire, Géographie</c:v>
                </c:pt>
                <c:pt idx="5">
                  <c:v>Linguistique, littérature</c:v>
                </c:pt>
                <c:pt idx="6">
                  <c:v>Multimédia</c:v>
                </c:pt>
                <c:pt idx="7">
                  <c:v>Presse et science de l'information</c:v>
                </c:pt>
                <c:pt idx="8">
                  <c:v>Sciences biologiques et médicales</c:v>
                </c:pt>
                <c:pt idx="9">
                  <c:v>Sciences économiques, commerce et gestion</c:v>
                </c:pt>
                <c:pt idx="10">
                  <c:v>Sciences et technologies</c:v>
                </c:pt>
                <c:pt idx="11">
                  <c:v>Sciences informatiques</c:v>
                </c:pt>
              </c:strCache>
            </c:strRef>
          </c:cat>
          <c:val>
            <c:numRef>
              <c:f>'36Xdiscipline'!$C$5:$C$17</c:f>
              <c:numCache>
                <c:formatCode>General</c:formatCode>
                <c:ptCount val="12"/>
                <c:pt idx="0">
                  <c:v>1</c:v>
                </c:pt>
                <c:pt idx="1">
                  <c:v>2</c:v>
                </c:pt>
                <c:pt idx="2">
                  <c:v>12</c:v>
                </c:pt>
                <c:pt idx="3">
                  <c:v>1</c:v>
                </c:pt>
                <c:pt idx="4">
                  <c:v>3</c:v>
                </c:pt>
                <c:pt idx="6">
                  <c:v>1</c:v>
                </c:pt>
                <c:pt idx="7">
                  <c:v>1</c:v>
                </c:pt>
                <c:pt idx="8">
                  <c:v>4</c:v>
                </c:pt>
                <c:pt idx="9">
                  <c:v>5</c:v>
                </c:pt>
                <c:pt idx="10">
                  <c:v>1</c:v>
                </c:pt>
                <c:pt idx="11">
                  <c:v>10</c:v>
                </c:pt>
              </c:numCache>
            </c:numRef>
          </c:val>
        </c:ser>
        <c:axId val="133568768"/>
        <c:axId val="95748096"/>
      </c:barChart>
      <c:catAx>
        <c:axId val="133568768"/>
        <c:scaling>
          <c:orientation val="minMax"/>
        </c:scaling>
        <c:axPos val="b"/>
        <c:tickLblPos val="nextTo"/>
        <c:crossAx val="95748096"/>
        <c:crosses val="autoZero"/>
        <c:auto val="1"/>
        <c:lblAlgn val="ctr"/>
        <c:lblOffset val="100"/>
      </c:catAx>
      <c:valAx>
        <c:axId val="95748096"/>
        <c:scaling>
          <c:orientation val="minMax"/>
        </c:scaling>
        <c:axPos val="l"/>
        <c:majorGridlines/>
        <c:numFmt formatCode="General" sourceLinked="1"/>
        <c:tickLblPos val="nextTo"/>
        <c:crossAx val="133568768"/>
        <c:crosses val="autoZero"/>
        <c:crossBetween val="between"/>
      </c:valAx>
    </c:plotArea>
    <c:legend>
      <c:legendPos val="r"/>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1094F96-4149-4BE8-A1DF-F2B895ABD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FormatRIHM</Template>
  <TotalTime>74</TotalTime>
  <Pages>17</Pages>
  <Words>4764</Words>
  <Characters>26203</Characters>
  <Application>Microsoft Office Word</Application>
  <DocSecurity>0</DocSecurity>
  <Lines>218</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Titre</vt:lpstr>
      <vt:lpstr>Titre</vt:lpstr>
    </vt:vector>
  </TitlesOfParts>
  <Company>Université Paris8</Company>
  <LinksUpToDate>false</LinksUpToDate>
  <CharactersWithSpaces>30906</CharactersWithSpaces>
  <SharedDoc>false</SharedDoc>
  <HLinks>
    <vt:vector size="48" baseType="variant">
      <vt:variant>
        <vt:i4>786455</vt:i4>
      </vt:variant>
      <vt:variant>
        <vt:i4>18</vt:i4>
      </vt:variant>
      <vt:variant>
        <vt:i4>0</vt:i4>
      </vt:variant>
      <vt:variant>
        <vt:i4>5</vt:i4>
      </vt:variant>
      <vt:variant>
        <vt:lpwstr>http://eprints.soton.ac.uk/262428/1/asj7.pdf</vt:lpwstr>
      </vt:variant>
      <vt:variant>
        <vt:lpwstr/>
      </vt:variant>
      <vt:variant>
        <vt:i4>5963867</vt:i4>
      </vt:variant>
      <vt:variant>
        <vt:i4>15</vt:i4>
      </vt:variant>
      <vt:variant>
        <vt:i4>0</vt:i4>
      </vt:variant>
      <vt:variant>
        <vt:i4>5</vt:i4>
      </vt:variant>
      <vt:variant>
        <vt:lpwstr>http://www.futura-sciences.com/magazines/matiere/infos/actu/d/physique-arxiv-archive-scientifique-mondialement-celebre-20-ans-32920/</vt:lpwstr>
      </vt:variant>
      <vt:variant>
        <vt:lpwstr>comments</vt:lpwstr>
      </vt:variant>
      <vt:variant>
        <vt:i4>3145784</vt:i4>
      </vt:variant>
      <vt:variant>
        <vt:i4>12</vt:i4>
      </vt:variant>
      <vt:variant>
        <vt:i4>0</vt:i4>
      </vt:variant>
      <vt:variant>
        <vt:i4>5</vt:i4>
      </vt:variant>
      <vt:variant>
        <vt:lpwstr>http://archivesic.ccsd.cnrs.fr/docs/00/64/05/74/PDF/ArticleToulonMkadmi_BenRomdhane_HachichaVF.pdf</vt:lpwstr>
      </vt:variant>
      <vt:variant>
        <vt:lpwstr/>
      </vt:variant>
      <vt:variant>
        <vt:i4>2949236</vt:i4>
      </vt:variant>
      <vt:variant>
        <vt:i4>9</vt:i4>
      </vt:variant>
      <vt:variant>
        <vt:i4>0</vt:i4>
      </vt:variant>
      <vt:variant>
        <vt:i4>5</vt:i4>
      </vt:variant>
      <vt:variant>
        <vt:lpwstr>http://conference.ifla.org/past-wlic/2009/142-gdoura-fr.pdf</vt:lpwstr>
      </vt:variant>
      <vt:variant>
        <vt:lpwstr/>
      </vt:variant>
      <vt:variant>
        <vt:i4>3735575</vt:i4>
      </vt:variant>
      <vt:variant>
        <vt:i4>6</vt:i4>
      </vt:variant>
      <vt:variant>
        <vt:i4>0</vt:i4>
      </vt:variant>
      <vt:variant>
        <vt:i4>5</vt:i4>
      </vt:variant>
      <vt:variant>
        <vt:lpwstr>http://archivesic.ccsd.cnrs.fr/sic_00276953</vt:lpwstr>
      </vt:variant>
      <vt:variant>
        <vt:lpwstr/>
      </vt:variant>
      <vt:variant>
        <vt:i4>3932187</vt:i4>
      </vt:variant>
      <vt:variant>
        <vt:i4>3</vt:i4>
      </vt:variant>
      <vt:variant>
        <vt:i4>0</vt:i4>
      </vt:variant>
      <vt:variant>
        <vt:i4>5</vt:i4>
      </vt:variant>
      <vt:variant>
        <vt:lpwstr>http://archivesic.ccsd.cnrs.fr/sic_00829058</vt:lpwstr>
      </vt:variant>
      <vt:variant>
        <vt:lpwstr/>
      </vt:variant>
      <vt:variant>
        <vt:i4>75</vt:i4>
      </vt:variant>
      <vt:variant>
        <vt:i4>3</vt:i4>
      </vt:variant>
      <vt:variant>
        <vt:i4>0</vt:i4>
      </vt:variant>
      <vt:variant>
        <vt:i4>5</vt:i4>
      </vt:variant>
      <vt:variant>
        <vt:lpwstr>https://docs.google.com/forms/d/1GUVRj92vyGEUBXAG9CjhGL36p5m40VN3el9f4h-YEf0/viewform</vt:lpwstr>
      </vt:variant>
      <vt:variant>
        <vt:lpwstr/>
      </vt:variant>
      <vt:variant>
        <vt:i4>6488125</vt:i4>
      </vt:variant>
      <vt:variant>
        <vt:i4>0</vt:i4>
      </vt:variant>
      <vt:variant>
        <vt:i4>0</vt:i4>
      </vt:variant>
      <vt:variant>
        <vt:i4>5</vt:i4>
      </vt:variant>
      <vt:variant>
        <vt:lpwstr>http://www.uma.rnu.tn/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creator>KZ</dc:creator>
  <cp:lastModifiedBy>MICROLUX</cp:lastModifiedBy>
  <cp:revision>5</cp:revision>
  <cp:lastPrinted>2014-08-10T21:38:00Z</cp:lastPrinted>
  <dcterms:created xsi:type="dcterms:W3CDTF">2014-10-25T08:10:00Z</dcterms:created>
  <dcterms:modified xsi:type="dcterms:W3CDTF">2014-10-25T09:22:00Z</dcterms:modified>
</cp:coreProperties>
</file>